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24"/>
        </w:rPr>
      </w:pPr>
      <w:r>
        <w:rPr>
          <w:rFonts w:hint="eastAsia" w:ascii="仿宋_GB2312" w:eastAsia="仿宋_GB2312"/>
          <w:sz w:val="24"/>
        </w:rPr>
        <w:t>附件</w:t>
      </w:r>
      <w:r>
        <w:rPr>
          <w:rFonts w:ascii="仿宋_GB2312" w:eastAsia="仿宋_GB2312"/>
          <w:sz w:val="24"/>
        </w:rPr>
        <w:t>1</w:t>
      </w: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numPr>
          <w:ins w:id="0" w:author="Unknown" w:date=""/>
        </w:numPr>
        <w:jc w:val="center"/>
        <w:rPr>
          <w:rFonts w:ascii="宋体" w:hAnsi="宋体"/>
          <w:sz w:val="44"/>
          <w:szCs w:val="44"/>
        </w:rPr>
      </w:pPr>
      <w:r>
        <w:rPr>
          <w:rFonts w:ascii="宋体" w:hAnsi="宋体"/>
          <w:sz w:val="44"/>
          <w:szCs w:val="44"/>
        </w:rPr>
        <w:t>201</w:t>
      </w:r>
      <w:r>
        <w:rPr>
          <w:rFonts w:hint="eastAsia" w:ascii="宋体" w:hAnsi="宋体"/>
          <w:sz w:val="44"/>
          <w:szCs w:val="44"/>
        </w:rPr>
        <w:t>9</w:t>
      </w:r>
      <w:r>
        <w:rPr>
          <w:rFonts w:ascii="宋体" w:hAnsi="宋体"/>
          <w:sz w:val="44"/>
          <w:szCs w:val="44"/>
        </w:rPr>
        <w:t>年</w:t>
      </w:r>
      <w:r>
        <w:rPr>
          <w:rFonts w:hint="eastAsia" w:ascii="宋体" w:hAnsi="宋体"/>
          <w:sz w:val="44"/>
          <w:szCs w:val="44"/>
        </w:rPr>
        <w:t>度部门</w:t>
      </w:r>
      <w:r>
        <w:rPr>
          <w:rFonts w:ascii="宋体" w:hAnsi="宋体"/>
          <w:sz w:val="44"/>
          <w:szCs w:val="44"/>
        </w:rPr>
        <w:t>整体绩效自评报告</w:t>
      </w:r>
    </w:p>
    <w:p>
      <w:pPr>
        <w:spacing w:line="360" w:lineRule="auto"/>
        <w:rPr>
          <w:rFonts w:ascii="仿宋_GB2312" w:eastAsia="仿宋_GB2312"/>
          <w:sz w:val="32"/>
          <w:szCs w:val="32"/>
          <w:highlight w:val="yellow"/>
        </w:rPr>
      </w:pPr>
    </w:p>
    <w:p>
      <w:pPr>
        <w:spacing w:line="360" w:lineRule="auto"/>
        <w:rPr>
          <w:rFonts w:ascii="仿宋_GB2312" w:eastAsia="仿宋_GB2312"/>
          <w:sz w:val="32"/>
          <w:szCs w:val="32"/>
          <w:highlight w:val="yellow"/>
        </w:rPr>
      </w:pPr>
    </w:p>
    <w:p>
      <w:pPr>
        <w:spacing w:line="360" w:lineRule="auto"/>
        <w:rPr>
          <w:rFonts w:ascii="仿宋_GB2312" w:eastAsia="仿宋_GB2312"/>
          <w:sz w:val="32"/>
          <w:szCs w:val="32"/>
          <w:highlight w:val="yellow"/>
        </w:rPr>
      </w:pPr>
    </w:p>
    <w:p>
      <w:pPr>
        <w:spacing w:line="360" w:lineRule="auto"/>
        <w:rPr>
          <w:rFonts w:ascii="仿宋_GB2312" w:eastAsia="仿宋_GB2312"/>
          <w:sz w:val="32"/>
          <w:szCs w:val="32"/>
          <w:highlight w:val="yellow"/>
        </w:rPr>
      </w:pPr>
    </w:p>
    <w:p>
      <w:pPr>
        <w:spacing w:line="360" w:lineRule="auto"/>
        <w:rPr>
          <w:rFonts w:ascii="仿宋_GB2312" w:eastAsia="仿宋_GB2312"/>
          <w:sz w:val="32"/>
          <w:szCs w:val="32"/>
          <w:highlight w:val="yellow"/>
        </w:rPr>
      </w:pPr>
    </w:p>
    <w:p>
      <w:pPr>
        <w:spacing w:line="360" w:lineRule="auto"/>
        <w:rPr>
          <w:rFonts w:ascii="仿宋_GB2312" w:eastAsia="仿宋_GB2312"/>
          <w:sz w:val="32"/>
          <w:szCs w:val="32"/>
        </w:rPr>
      </w:pPr>
    </w:p>
    <w:p>
      <w:pPr>
        <w:wordWrap w:val="0"/>
        <w:spacing w:line="360" w:lineRule="auto"/>
        <w:jc w:val="right"/>
        <w:rPr>
          <w:rFonts w:ascii="仿宋_GB2312" w:eastAsia="仿宋_GB2312"/>
          <w:sz w:val="32"/>
          <w:szCs w:val="32"/>
        </w:rPr>
      </w:pPr>
      <w:r>
        <w:rPr>
          <w:rFonts w:hint="eastAsia" w:ascii="仿宋_GB2312" w:eastAsia="仿宋_GB2312"/>
          <w:sz w:val="32"/>
          <w:szCs w:val="32"/>
        </w:rPr>
        <w:t xml:space="preserve">部门名称（公章）：盐田区城市管理监督指挥中心 </w:t>
      </w:r>
    </w:p>
    <w:p>
      <w:pPr>
        <w:spacing w:line="360" w:lineRule="auto"/>
        <w:ind w:left="-315" w:leftChars="-150" w:firstLine="1440" w:firstLineChars="450"/>
        <w:jc w:val="left"/>
        <w:rPr>
          <w:rFonts w:ascii="仿宋_GB2312" w:eastAsia="仿宋_GB2312"/>
          <w:sz w:val="32"/>
          <w:szCs w:val="32"/>
        </w:rPr>
      </w:pPr>
      <w:r>
        <w:rPr>
          <w:rFonts w:hint="eastAsia" w:ascii="仿宋_GB2312" w:eastAsia="仿宋_GB2312"/>
          <w:sz w:val="32"/>
          <w:szCs w:val="32"/>
        </w:rPr>
        <w:t>填 报 人：</w:t>
      </w:r>
    </w:p>
    <w:p>
      <w:pPr>
        <w:spacing w:line="360" w:lineRule="auto"/>
        <w:ind w:left="-315" w:leftChars="-150" w:right="1281" w:firstLine="1440" w:firstLineChars="450"/>
        <w:rPr>
          <w:rFonts w:ascii="仿宋_GB2312" w:eastAsia="仿宋_GB2312"/>
          <w:sz w:val="32"/>
          <w:szCs w:val="32"/>
        </w:rPr>
      </w:pPr>
      <w:r>
        <w:rPr>
          <w:rFonts w:hint="eastAsia" w:ascii="仿宋_GB2312" w:eastAsia="仿宋_GB2312"/>
          <w:sz w:val="32"/>
          <w:szCs w:val="32"/>
        </w:rPr>
        <w:t>联系电话：</w:t>
      </w:r>
    </w:p>
    <w:p>
      <w:pPr>
        <w:jc w:val="center"/>
        <w:rPr>
          <w:rFonts w:ascii="仿宋_GB2312" w:eastAsia="仿宋_GB2312"/>
          <w:sz w:val="32"/>
          <w:szCs w:val="32"/>
          <w:highlight w:val="yellow"/>
        </w:rPr>
      </w:pPr>
    </w:p>
    <w:p>
      <w:pPr>
        <w:jc w:val="center"/>
        <w:rPr>
          <w:rFonts w:ascii="宋体" w:hAnsi="宋体"/>
          <w:sz w:val="44"/>
          <w:szCs w:val="44"/>
          <w:highlight w:val="yellow"/>
        </w:rPr>
      </w:pPr>
    </w:p>
    <w:p>
      <w:pPr>
        <w:jc w:val="center"/>
        <w:rPr>
          <w:rFonts w:ascii="宋体" w:hAnsi="宋体"/>
          <w:sz w:val="44"/>
          <w:szCs w:val="44"/>
          <w:highlight w:val="yellow"/>
        </w:rPr>
      </w:pPr>
    </w:p>
    <w:p>
      <w:pPr>
        <w:rPr>
          <w:rFonts w:ascii="宋体" w:hAnsi="宋体"/>
          <w:sz w:val="44"/>
          <w:szCs w:val="44"/>
          <w:highlight w:val="yellow"/>
        </w:rPr>
      </w:pPr>
    </w:p>
    <w:p>
      <w:pPr>
        <w:rPr>
          <w:rFonts w:ascii="宋体" w:hAnsi="宋体"/>
          <w:sz w:val="44"/>
          <w:szCs w:val="44"/>
          <w:highlight w:val="yellow"/>
        </w:rPr>
      </w:pPr>
    </w:p>
    <w:p>
      <w:pPr>
        <w:rPr>
          <w:rFonts w:ascii="宋体" w:hAnsi="宋体"/>
          <w:sz w:val="44"/>
          <w:szCs w:val="44"/>
          <w:highlight w:val="yellow"/>
        </w:rPr>
      </w:pPr>
    </w:p>
    <w:p>
      <w:pPr>
        <w:rPr>
          <w:rFonts w:ascii="宋体" w:hAnsi="宋体"/>
          <w:sz w:val="44"/>
          <w:szCs w:val="44"/>
          <w:highlight w:val="yellow"/>
        </w:rPr>
      </w:pPr>
    </w:p>
    <w:p>
      <w:pPr>
        <w:snapToGrid w:val="0"/>
        <w:spacing w:line="58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一、部门（单位）基本情况</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（一）部门主要职能</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1.负责“盐田智慧城管”运行与管理的全面工作。</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2.负责指挥和协调各专业部门，派遣问题处理任务，负责问题信息收集、问题处理结果监督及综合评价等工作。</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3.负责辖区“数字化城管”市容考核的全面工作。</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4.负责辖区市政环卫保洁、垃圾清运、垃圾中转站、公共厕所、乱张贴等外包服务的日常管理、监督、考核工作；负责辖区城中村环境卫生的监督与考核工作。</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5.负责协助做好辖区环境卫生日常检查评比考核工作，落实全区环境卫生管理迎检及督查督办工作。</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6.负责受理辖区城市管理和综合执法工作方面的投诉。</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7.负责执行智慧城管的相关标准，定期更新城管部件、事件信息。</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8.负责协调解决综合性、市属驻盐责任单位的有关城市管理事件和部件问题。</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9.负责汇总和整理市区有关部门就解决城市管理事件和部件问题的评价结果，并定期公布结果。</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10.负责组建专职信息采集监督管理员和专职信息技术平台操作派遣员队伍，并制定相关管理制度。</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11.负责组织、指导城管系统辖区内（包括责任单位）平台案件派遣员、系统操作员和信息采集员等有关队伍的培训和考核工作。</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12.负责本系统内安全生产监督管理工作。</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我中心为城管局下属的区财政全额拨款副处级事业单位，今年4月我区进行了机构改革后，至2019年12月31日止，实有在编职员39名(比上年增加了10名)、临聘人员75名(比上年增加了52名)、退休员工30名(比上年增加2名)。</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（二）年度总体工作和重点工作任务。</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2019年，在区委、区政府正确领导下和市、区城管局的指导下，认真学习习近平总书记系列</w:t>
      </w:r>
      <w:r>
        <w:rPr>
          <w:rFonts w:hint="eastAsia" w:ascii="仿宋_GB2312" w:hAnsi="Adobe 楷体 Std R" w:eastAsia="仿宋_GB2312"/>
          <w:color w:val="000000"/>
          <w:sz w:val="32"/>
          <w:szCs w:val="32"/>
          <w:lang w:val="en-US" w:eastAsia="zh-CN"/>
        </w:rPr>
        <w:t>重要</w:t>
      </w:r>
      <w:r>
        <w:rPr>
          <w:rFonts w:hint="eastAsia" w:ascii="仿宋_GB2312" w:hAnsi="Adobe 楷体 Std R" w:eastAsia="仿宋_GB2312"/>
          <w:color w:val="000000"/>
          <w:sz w:val="32"/>
          <w:szCs w:val="32"/>
        </w:rPr>
        <w:t>讲话，深入开展“主题教育”实践活动，深化支部标准化建设，以党建为引领，全力推进“智慧城管”建设、市容环境综合考核工作。</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（三）2019年部门预算编制情况。</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根据我单位职责，按照区委区政府有关方针政策和工作要求，结合我单位中长期发展规划及年度工作计划，201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年度年初预算安排合共</w:t>
      </w:r>
      <w:r>
        <w:rPr>
          <w:rFonts w:hint="eastAsia" w:ascii="仿宋_GB2312" w:hAnsi="Adobe 楷体 Std R" w:eastAsia="仿宋_GB2312"/>
          <w:color w:val="000000"/>
          <w:sz w:val="32"/>
          <w:szCs w:val="32"/>
        </w:rPr>
        <w:t>2,332.03</w:t>
      </w:r>
      <w:r>
        <w:rPr>
          <w:rFonts w:hint="eastAsia" w:ascii="仿宋_GB2312" w:hAnsi="宋体" w:eastAsia="仿宋_GB2312" w:cs="宋体"/>
          <w:kern w:val="0"/>
          <w:sz w:val="32"/>
          <w:szCs w:val="32"/>
        </w:rPr>
        <w:t>万元。预算编制符合区财政201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年度有关预算编制的原则，如严控“三公”经费以及会议、差旅和培训等一般公务支出预算等。根据201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年度部门预算编制要求，我单位在中期财政规划（201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-202</w:t>
      </w:r>
      <w:r>
        <w:rPr>
          <w:rFonts w:ascii="仿宋_GB2312" w:hAnsi="宋体" w:eastAsia="仿宋_GB2312" w:cs="宋体"/>
          <w:kern w:val="0"/>
          <w:sz w:val="32"/>
          <w:szCs w:val="32"/>
        </w:rPr>
        <w:t>1</w:t>
      </w:r>
      <w:r>
        <w:rPr>
          <w:rFonts w:hint="eastAsia" w:ascii="仿宋_GB2312" w:hAnsi="宋体" w:eastAsia="仿宋_GB2312" w:cs="宋体"/>
          <w:kern w:val="0"/>
          <w:sz w:val="32"/>
          <w:szCs w:val="32"/>
        </w:rPr>
        <w:t>）框架下编制年度部门预算、达到区财政对部门预算编制的细致程度要求，同时按要求对申请的财政资金设定绩效目标。在实际工作开展过程中，经批准，我单位整体支出预算总额调整为</w:t>
      </w:r>
      <w:r>
        <w:rPr>
          <w:rFonts w:hint="eastAsia" w:ascii="仿宋_GB2312" w:hAnsi="Adobe 楷体 Std R" w:eastAsia="仿宋_GB2312"/>
          <w:color w:val="000000"/>
          <w:sz w:val="32"/>
          <w:szCs w:val="32"/>
        </w:rPr>
        <w:t>2,974.18</w:t>
      </w:r>
      <w:r>
        <w:rPr>
          <w:rFonts w:hint="eastAsia" w:ascii="仿宋_GB2312" w:hAnsi="宋体" w:eastAsia="仿宋_GB2312" w:cs="宋体"/>
          <w:kern w:val="0"/>
          <w:sz w:val="32"/>
          <w:szCs w:val="32"/>
        </w:rPr>
        <w:t>万元。具体资金安排情况如下：</w:t>
      </w:r>
    </w:p>
    <w:p>
      <w:pPr>
        <w:spacing w:line="560" w:lineRule="atLeast"/>
        <w:ind w:left="640"/>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ascii="仿宋_GB2312" w:hAnsi="宋体" w:eastAsia="仿宋_GB2312" w:cs="宋体"/>
          <w:kern w:val="0"/>
          <w:sz w:val="32"/>
          <w:szCs w:val="32"/>
        </w:rPr>
        <w:t>.</w:t>
      </w:r>
      <w:r>
        <w:rPr>
          <w:rFonts w:hint="eastAsia" w:ascii="仿宋_GB2312" w:hAnsi="宋体" w:eastAsia="仿宋_GB2312" w:cs="宋体"/>
          <w:kern w:val="0"/>
          <w:sz w:val="32"/>
          <w:szCs w:val="32"/>
        </w:rPr>
        <w:t>部门整体支出年初预算安排。</w:t>
      </w:r>
    </w:p>
    <w:p>
      <w:pPr>
        <w:spacing w:line="560" w:lineRule="atLeas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我单位部门预算支出2,332.03万元，包括人员经费1,806.24万元、日常公用经费64.38万元、项目支出461.4万元。其中人员经费1,806.24万元，主要是在职人员工资福利、基本养老保险、职业年金等支出；日常公用经费64.38万元，主要包括公用综合定额经费、车辆运行维护费、工会经费和公务用车改革补贴等公用经费。项目支出461.4万元，主要用于：全力推进“智慧城管”建设、市容环境综合考核工作。</w:t>
      </w:r>
    </w:p>
    <w:p>
      <w:pPr>
        <w:spacing w:line="560" w:lineRule="atLeast"/>
        <w:ind w:left="640"/>
        <w:rPr>
          <w:rFonts w:ascii="仿宋_GB2312" w:hAnsi="宋体" w:eastAsia="仿宋_GB2312" w:cs="宋体"/>
          <w:color w:val="FF0000"/>
          <w:kern w:val="0"/>
          <w:sz w:val="32"/>
          <w:szCs w:val="32"/>
        </w:rPr>
      </w:pPr>
      <w:r>
        <w:rPr>
          <w:rFonts w:hint="eastAsia" w:ascii="仿宋_GB2312" w:hAnsi="宋体" w:eastAsia="仿宋_GB2312" w:cs="宋体"/>
          <w:kern w:val="0"/>
          <w:sz w:val="32"/>
          <w:szCs w:val="32"/>
        </w:rPr>
        <w:t>2.部门整体支出预算调整情况。</w:t>
      </w:r>
    </w:p>
    <w:p>
      <w:pPr>
        <w:spacing w:line="560" w:lineRule="atLeas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履职需要，年中对部门整体支出预算进行了相应的调整，整体支出预算总额调整为2,974.18万元。按资金来源，其中：财政拨款收入调整为2,974.18万元（含年初财政拨款结转和结余0万元）；按资金用途，基本支出调整预算数为2,273.07万元（占比76</w:t>
      </w:r>
      <w:r>
        <w:rPr>
          <w:rFonts w:ascii="仿宋_GB2312" w:hAnsi="宋体" w:eastAsia="仿宋_GB2312" w:cs="宋体"/>
          <w:kern w:val="0"/>
          <w:sz w:val="32"/>
          <w:szCs w:val="32"/>
        </w:rPr>
        <w:t>.</w:t>
      </w:r>
      <w:r>
        <w:rPr>
          <w:rFonts w:hint="eastAsia" w:ascii="仿宋_GB2312" w:hAnsi="宋体" w:eastAsia="仿宋_GB2312" w:cs="宋体"/>
          <w:kern w:val="0"/>
          <w:sz w:val="32"/>
          <w:szCs w:val="32"/>
        </w:rPr>
        <w:t>42</w:t>
      </w:r>
      <w:r>
        <w:rPr>
          <w:rFonts w:ascii="仿宋_GB2312" w:hAnsi="宋体" w:eastAsia="仿宋_GB2312" w:cs="宋体"/>
          <w:kern w:val="0"/>
          <w:sz w:val="32"/>
          <w:szCs w:val="32"/>
        </w:rPr>
        <w:t>%</w:t>
      </w:r>
      <w:r>
        <w:rPr>
          <w:rFonts w:hint="eastAsia" w:ascii="仿宋_GB2312" w:hAnsi="宋体" w:eastAsia="仿宋_GB2312" w:cs="宋体"/>
          <w:kern w:val="0"/>
          <w:sz w:val="32"/>
          <w:szCs w:val="32"/>
        </w:rPr>
        <w:t>）；项目支出预算调整为701.12万元（占比23.57</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部门整体支出预算调整后，按照支出用途，主要是调增了人员经费359.32万元、项目支出239.72万元。按照支出类别，主要调增了卫生健康支出7.47万元、城乡社区支出547.30万元，调增了社会保障和就业支出25.90万元、住房保障支出61.48万元。</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相关预算情况见下表：</w:t>
      </w:r>
    </w:p>
    <w:p>
      <w:pPr>
        <w:pStyle w:val="12"/>
        <w:spacing w:after="220"/>
        <w:jc w:val="center"/>
      </w:pPr>
      <w:r>
        <w:rPr>
          <w:rFonts w:hint="eastAsia" w:ascii="黑体" w:hAnsi="黑体" w:eastAsia="黑体"/>
          <w:sz w:val="28"/>
          <w:szCs w:val="28"/>
        </w:rPr>
        <w:t>表 1 部门整体支出预算资金来源与调整情况</w:t>
      </w:r>
    </w:p>
    <w:tbl>
      <w:tblPr>
        <w:tblStyle w:val="5"/>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4"/>
        <w:gridCol w:w="2163"/>
        <w:gridCol w:w="2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400" w:type="dxa"/>
            <w:gridSpan w:val="3"/>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pStyle w:val="11"/>
              <w:jc w:val="both"/>
              <w:rPr>
                <w:rFonts w:hint="default" w:ascii="仿宋_GB2312" w:hAnsi="仿宋_GB2312" w:eastAsia="仿宋_GB2312" w:cs="仿宋_GB2312"/>
                <w:kern w:val="2"/>
                <w:szCs w:val="24"/>
              </w:rPr>
            </w:pPr>
            <w:r>
              <w:rPr>
                <w:rFonts w:ascii="仿宋_GB2312" w:hAnsi="仿宋_GB2312" w:eastAsia="仿宋_GB2312" w:cs="仿宋_GB2312"/>
                <w:kern w:val="2"/>
                <w:szCs w:val="24"/>
              </w:rPr>
              <w:t>支出预算资金来源</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年初预算数</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调整预算数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themeColor="text1"/>
                <w:sz w:val="24"/>
                <w14:textFill>
                  <w14:solidFill>
                    <w14:schemeClr w14:val="tx1"/>
                  </w14:solidFill>
                </w14:textFill>
              </w:rPr>
              <w:t>一、一般公共预算财政拨款收入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 xml:space="preserve"> 2,332.03</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 xml:space="preserve"> 2,974.18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themeColor="text1"/>
                <w:sz w:val="24"/>
                <w14:textFill>
                  <w14:solidFill>
                    <w14:schemeClr w14:val="tx1"/>
                  </w14:solidFill>
                </w14:textFill>
              </w:rPr>
              <w:t>二、政府性基金预算财政拨款</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themeColor="text1"/>
                <w:sz w:val="24"/>
                <w14:textFill>
                  <w14:solidFill>
                    <w14:schemeClr w14:val="tx1"/>
                  </w14:solidFill>
                </w14:textFill>
              </w:rPr>
              <w:t>三、上级补助收入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themeColor="text1"/>
                <w:sz w:val="24"/>
                <w14:textFill>
                  <w14:solidFill>
                    <w14:schemeClr w14:val="tx1"/>
                  </w14:solidFill>
                </w14:textFill>
              </w:rPr>
              <w:t>四、事业收入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themeColor="text1"/>
                <w:sz w:val="24"/>
                <w14:textFill>
                  <w14:solidFill>
                    <w14:schemeClr w14:val="tx1"/>
                  </w14:solidFill>
                </w14:textFill>
              </w:rPr>
              <w:t>五、经营收入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themeColor="text1"/>
                <w:sz w:val="24"/>
                <w14:textFill>
                  <w14:solidFill>
                    <w14:schemeClr w14:val="tx1"/>
                  </w14:solidFill>
                </w14:textFill>
              </w:rPr>
              <w:t>六、附属单位上缴收入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themeColor="text1"/>
                <w:sz w:val="24"/>
                <w14:textFill>
                  <w14:solidFill>
                    <w14:schemeClr w14:val="tx1"/>
                  </w14:solidFill>
                </w14:textFill>
              </w:rPr>
              <w:t>七、其他收入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本年收入合计</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 xml:space="preserve">2,332.03 </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 xml:space="preserve"> 2,974.18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用事业基金弥补收支差额</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年初结转和结余</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pStyle w:val="11"/>
              <w:jc w:val="both"/>
              <w:rPr>
                <w:rFonts w:hint="default" w:ascii="仿宋_GB2312" w:hAnsi="仿宋_GB2312" w:eastAsia="仿宋_GB2312" w:cs="仿宋_GB2312"/>
                <w:kern w:val="2"/>
                <w:szCs w:val="24"/>
              </w:rPr>
            </w:pPr>
            <w:r>
              <w:rPr>
                <w:rFonts w:ascii="仿宋_GB2312" w:hAnsi="仿宋_GB2312" w:eastAsia="仿宋_GB2312" w:cs="仿宋_GB2312"/>
                <w:b/>
                <w:bCs/>
                <w:kern w:val="2"/>
                <w:szCs w:val="24"/>
              </w:rPr>
              <w:t>总计</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 xml:space="preserve"> 2,332.03</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 xml:space="preserve">  2,974.18  </w:t>
            </w:r>
          </w:p>
        </w:tc>
      </w:tr>
    </w:tbl>
    <w:p>
      <w:pPr>
        <w:pStyle w:val="11"/>
        <w:rPr>
          <w:rFonts w:hint="default" w:ascii="黑体" w:hAnsi="黑体" w:eastAsia="黑体"/>
          <w:sz w:val="20"/>
          <w:highlight w:val="yellow"/>
        </w:rPr>
      </w:pPr>
    </w:p>
    <w:p>
      <w:pPr>
        <w:pStyle w:val="13"/>
        <w:spacing w:after="220"/>
        <w:jc w:val="center"/>
        <w:rPr>
          <w:rFonts w:ascii="黑体" w:hAnsi="黑体" w:eastAsia="黑体"/>
          <w:sz w:val="20"/>
        </w:rPr>
      </w:pPr>
      <w:r>
        <w:rPr>
          <w:rFonts w:hint="eastAsia" w:ascii="黑体" w:hAnsi="黑体" w:eastAsia="黑体"/>
          <w:sz w:val="28"/>
          <w:szCs w:val="28"/>
        </w:rPr>
        <w:t>表 2 部门整体支出构成与调整情况（按支出功能分类）</w:t>
      </w:r>
    </w:p>
    <w:tbl>
      <w:tblPr>
        <w:tblStyle w:val="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8"/>
        <w:gridCol w:w="1731"/>
        <w:gridCol w:w="1810"/>
        <w:gridCol w:w="1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8528" w:type="dxa"/>
            <w:gridSpan w:val="4"/>
            <w:shd w:val="clear" w:color="auto" w:fill="auto"/>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pStyle w:val="11"/>
              <w:rPr>
                <w:rFonts w:hint="default" w:ascii="仿宋_GB2312" w:hAnsi="仿宋_GB2312" w:eastAsia="仿宋_GB2312" w:cs="仿宋_GB2312"/>
                <w:kern w:val="2"/>
                <w:szCs w:val="24"/>
              </w:rPr>
            </w:pPr>
            <w:r>
              <w:rPr>
                <w:rFonts w:ascii="仿宋_GB2312" w:hAnsi="仿宋_GB2312" w:eastAsia="仿宋_GB2312" w:cs="仿宋_GB2312"/>
                <w:kern w:val="2"/>
                <w:szCs w:val="24"/>
              </w:rPr>
              <w:t>支出功能分类</w:t>
            </w:r>
          </w:p>
        </w:tc>
        <w:tc>
          <w:tcPr>
            <w:tcW w:w="1731" w:type="dxa"/>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年初预算数</w:t>
            </w:r>
          </w:p>
        </w:tc>
        <w:tc>
          <w:tcPr>
            <w:tcW w:w="1810" w:type="dxa"/>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调整预算数</w:t>
            </w:r>
          </w:p>
        </w:tc>
        <w:tc>
          <w:tcPr>
            <w:tcW w:w="1809" w:type="dxa"/>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部门决算数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ind w:firstLine="240" w:firstLineChars="100"/>
              <w:rPr>
                <w:rFonts w:ascii="仿宋_GB2312" w:hAnsi="仿宋_GB2312" w:eastAsia="仿宋_GB2312" w:cs="仿宋_GB2312"/>
                <w:color w:val="000000"/>
                <w:sz w:val="24"/>
              </w:rPr>
            </w:pPr>
            <w:r>
              <w:rPr>
                <w:rFonts w:hint="eastAsia" w:ascii="仿宋_GB2312" w:eastAsia="仿宋_GB2312"/>
                <w:sz w:val="24"/>
              </w:rPr>
              <w:t>社会保障和就业支出</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466.87</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492.77</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451.68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ind w:firstLine="240" w:firstLineChars="100"/>
              <w:rPr>
                <w:rFonts w:ascii="仿宋_GB2312" w:hAnsi="仿宋_GB2312" w:eastAsia="仿宋_GB2312" w:cs="仿宋_GB2312"/>
                <w:color w:val="000000"/>
                <w:sz w:val="24"/>
              </w:rPr>
            </w:pPr>
            <w:r>
              <w:rPr>
                <w:rFonts w:hint="eastAsia" w:ascii="仿宋_GB2312" w:eastAsia="仿宋_GB2312"/>
                <w:sz w:val="24"/>
              </w:rPr>
              <w:t>卫生健康支出</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39.14</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46.61</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40.11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ind w:firstLine="240" w:firstLineChars="100"/>
              <w:rPr>
                <w:rFonts w:ascii="仿宋_GB2312" w:hAnsi="仿宋_GB2312" w:eastAsia="仿宋_GB2312" w:cs="仿宋_GB2312"/>
                <w:color w:val="000000"/>
                <w:sz w:val="24"/>
              </w:rPr>
            </w:pPr>
            <w:r>
              <w:rPr>
                <w:rFonts w:hint="eastAsia" w:ascii="仿宋_GB2312" w:eastAsia="仿宋_GB2312"/>
                <w:sz w:val="24"/>
              </w:rPr>
              <w:t>城乡社区支出</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1,545.18</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2,092.48</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1,962.78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ind w:firstLine="240" w:firstLineChars="100"/>
              <w:rPr>
                <w:rFonts w:ascii="仿宋_GB2312" w:hAnsi="仿宋_GB2312" w:eastAsia="仿宋_GB2312" w:cs="仿宋_GB2312"/>
                <w:color w:val="000000"/>
                <w:sz w:val="24"/>
              </w:rPr>
            </w:pPr>
            <w:r>
              <w:rPr>
                <w:rFonts w:hint="eastAsia" w:ascii="仿宋_GB2312" w:eastAsia="仿宋_GB2312"/>
                <w:sz w:val="24"/>
              </w:rPr>
              <w:t>住房保障支出</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280.84</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342.32</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324.56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总计</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2332.03</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2978.18</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2779.13</w:t>
            </w:r>
          </w:p>
        </w:tc>
      </w:tr>
    </w:tbl>
    <w:p>
      <w:pPr>
        <w:pStyle w:val="11"/>
        <w:rPr>
          <w:rFonts w:hint="default" w:ascii="黑体" w:hAnsi="黑体" w:eastAsia="黑体"/>
          <w:sz w:val="20"/>
        </w:rPr>
      </w:pPr>
    </w:p>
    <w:p>
      <w:pPr>
        <w:pStyle w:val="13"/>
        <w:spacing w:after="220"/>
        <w:jc w:val="center"/>
        <w:rPr>
          <w:rFonts w:ascii="黑体" w:hAnsi="黑体" w:eastAsia="黑体"/>
          <w:sz w:val="20"/>
        </w:rPr>
      </w:pPr>
      <w:r>
        <w:rPr>
          <w:rFonts w:hint="eastAsia" w:ascii="黑体" w:hAnsi="黑体" w:eastAsia="黑体"/>
          <w:sz w:val="28"/>
          <w:szCs w:val="28"/>
        </w:rPr>
        <w:t>表 3 部门整体支出构成与调整情况（按支出用途）</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3"/>
        <w:gridCol w:w="2124"/>
        <w:gridCol w:w="1841"/>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000" w:type="pct"/>
            <w:gridSpan w:val="4"/>
            <w:shd w:val="clear" w:color="auto" w:fill="auto"/>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1" w:type="pct"/>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支出用途</w:t>
            </w:r>
          </w:p>
        </w:tc>
        <w:tc>
          <w:tcPr>
            <w:tcW w:w="1246" w:type="pct"/>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年初预算数</w:t>
            </w:r>
          </w:p>
        </w:tc>
        <w:tc>
          <w:tcPr>
            <w:tcW w:w="1080" w:type="pct"/>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调整预算数</w:t>
            </w:r>
          </w:p>
        </w:tc>
        <w:tc>
          <w:tcPr>
            <w:tcW w:w="952" w:type="pct"/>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部门决算数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1"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一、基本支出</w:t>
            </w:r>
          </w:p>
        </w:tc>
        <w:tc>
          <w:tcPr>
            <w:tcW w:w="1246"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1,870.63 </w:t>
            </w:r>
          </w:p>
        </w:tc>
        <w:tc>
          <w:tcPr>
            <w:tcW w:w="1080"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2,273.07 </w:t>
            </w:r>
          </w:p>
        </w:tc>
        <w:tc>
          <w:tcPr>
            <w:tcW w:w="952" w:type="pct"/>
            <w:vAlign w:val="bottom"/>
          </w:tcPr>
          <w:p>
            <w:pPr>
              <w:pStyle w:val="11"/>
              <w:jc w:val="right"/>
              <w:rPr>
                <w:rFonts w:hint="default" w:ascii="仿宋_GB2312" w:hAnsi="仿宋_GB2312" w:eastAsia="仿宋_GB2312" w:cs="仿宋_GB2312"/>
                <w:kern w:val="2"/>
                <w:szCs w:val="24"/>
              </w:rPr>
            </w:pPr>
            <w:r>
              <w:rPr>
                <w:rFonts w:ascii="仿宋_GB2312" w:eastAsia="仿宋_GB2312"/>
                <w:szCs w:val="22"/>
              </w:rPr>
              <w:t>2,19</w:t>
            </w:r>
            <w:r>
              <w:rPr>
                <w:rFonts w:hint="default" w:ascii="仿宋_GB2312" w:eastAsia="仿宋_GB2312"/>
                <w:szCs w:val="22"/>
              </w:rPr>
              <w:t>1</w:t>
            </w:r>
            <w:r>
              <w:rPr>
                <w:rFonts w:ascii="仿宋_GB2312" w:eastAsia="仿宋_GB2312"/>
                <w:szCs w:val="22"/>
              </w:rPr>
              <w:t>.</w:t>
            </w:r>
            <w:r>
              <w:rPr>
                <w:rFonts w:hint="default" w:ascii="仿宋_GB2312" w:eastAsia="仿宋_GB2312"/>
                <w:szCs w:val="22"/>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1"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人员经费</w:t>
            </w:r>
          </w:p>
        </w:tc>
        <w:tc>
          <w:tcPr>
            <w:tcW w:w="1246" w:type="pct"/>
            <w:shd w:val="clear" w:color="auto" w:fill="auto"/>
            <w:vAlign w:val="center"/>
          </w:tcPr>
          <w:p>
            <w:pPr>
              <w:pStyle w:val="11"/>
              <w:jc w:val="right"/>
              <w:rPr>
                <w:rFonts w:hint="default" w:ascii="仿宋_GB2312" w:eastAsia="仿宋_GB2312"/>
                <w:szCs w:val="22"/>
              </w:rPr>
            </w:pPr>
            <w:r>
              <w:rPr>
                <w:rFonts w:ascii="仿宋_GB2312" w:eastAsia="仿宋_GB2312"/>
                <w:szCs w:val="22"/>
              </w:rPr>
              <w:t>1,806.24</w:t>
            </w:r>
          </w:p>
        </w:tc>
        <w:tc>
          <w:tcPr>
            <w:tcW w:w="1080" w:type="pct"/>
            <w:shd w:val="clear" w:color="auto" w:fill="auto"/>
            <w:vAlign w:val="bottom"/>
          </w:tcPr>
          <w:p>
            <w:pPr>
              <w:pStyle w:val="11"/>
              <w:jc w:val="right"/>
              <w:rPr>
                <w:rFonts w:hint="default" w:ascii="仿宋_GB2312" w:eastAsia="仿宋_GB2312"/>
                <w:szCs w:val="22"/>
              </w:rPr>
            </w:pPr>
            <w:r>
              <w:rPr>
                <w:rFonts w:ascii="仿宋_GB2312" w:eastAsia="仿宋_GB2312"/>
                <w:szCs w:val="22"/>
              </w:rPr>
              <w:t xml:space="preserve"> 2,165.56 </w:t>
            </w:r>
          </w:p>
        </w:tc>
        <w:tc>
          <w:tcPr>
            <w:tcW w:w="952" w:type="pct"/>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2,100.20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1"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日常公用经费</w:t>
            </w:r>
          </w:p>
        </w:tc>
        <w:tc>
          <w:tcPr>
            <w:tcW w:w="1246"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64.38 </w:t>
            </w:r>
          </w:p>
        </w:tc>
        <w:tc>
          <w:tcPr>
            <w:tcW w:w="1080"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107.51 </w:t>
            </w:r>
          </w:p>
        </w:tc>
        <w:tc>
          <w:tcPr>
            <w:tcW w:w="952" w:type="pct"/>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91.80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1"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二、项目支出</w:t>
            </w:r>
          </w:p>
        </w:tc>
        <w:tc>
          <w:tcPr>
            <w:tcW w:w="1246"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461.40</w:t>
            </w:r>
          </w:p>
        </w:tc>
        <w:tc>
          <w:tcPr>
            <w:tcW w:w="1080"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701.12</w:t>
            </w:r>
          </w:p>
        </w:tc>
        <w:tc>
          <w:tcPr>
            <w:tcW w:w="952" w:type="pct"/>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587.14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1"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三、上缴上级支出</w:t>
            </w:r>
          </w:p>
        </w:tc>
        <w:tc>
          <w:tcPr>
            <w:tcW w:w="1246"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1080"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952" w:type="pct"/>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1"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四、经营支出</w:t>
            </w:r>
          </w:p>
        </w:tc>
        <w:tc>
          <w:tcPr>
            <w:tcW w:w="1246"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1080"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952" w:type="pct"/>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1"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五、对附属单位补助支出</w:t>
            </w:r>
          </w:p>
        </w:tc>
        <w:tc>
          <w:tcPr>
            <w:tcW w:w="1246"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1080"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952" w:type="pct"/>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1" w:type="pct"/>
            <w:shd w:val="clear" w:color="auto" w:fill="auto"/>
            <w:vAlign w:val="bottom"/>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总计</w:t>
            </w:r>
          </w:p>
        </w:tc>
        <w:tc>
          <w:tcPr>
            <w:tcW w:w="1246"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2332.03  </w:t>
            </w:r>
          </w:p>
        </w:tc>
        <w:tc>
          <w:tcPr>
            <w:tcW w:w="1080"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2974.19 </w:t>
            </w:r>
          </w:p>
        </w:tc>
        <w:tc>
          <w:tcPr>
            <w:tcW w:w="952" w:type="pct"/>
            <w:vAlign w:val="bottom"/>
          </w:tcPr>
          <w:p>
            <w:pPr>
              <w:pStyle w:val="11"/>
              <w:jc w:val="right"/>
              <w:rPr>
                <w:rFonts w:hint="default" w:ascii="仿宋_GB2312" w:hAnsi="仿宋_GB2312" w:eastAsia="仿宋_GB2312" w:cs="仿宋_GB2312"/>
                <w:kern w:val="2"/>
                <w:szCs w:val="24"/>
              </w:rPr>
            </w:pPr>
            <w:r>
              <w:rPr>
                <w:rFonts w:ascii="仿宋_GB2312" w:eastAsia="仿宋_GB2312"/>
              </w:rPr>
              <w:t>2779.1</w:t>
            </w:r>
            <w:r>
              <w:rPr>
                <w:rFonts w:hint="default" w:ascii="仿宋_GB2312" w:eastAsia="仿宋_GB2312"/>
              </w:rPr>
              <w:t>3</w:t>
            </w:r>
            <w:r>
              <w:rPr>
                <w:rFonts w:ascii="仿宋_GB2312" w:eastAsia="仿宋_GB2312"/>
              </w:rPr>
              <w:t xml:space="preserve">  </w:t>
            </w:r>
          </w:p>
        </w:tc>
      </w:tr>
    </w:tbl>
    <w:p>
      <w:pPr>
        <w:pStyle w:val="13"/>
        <w:ind w:left="2364"/>
        <w:jc w:val="both"/>
        <w:rPr>
          <w:rFonts w:ascii="黑体" w:hAnsi="黑体" w:eastAsia="黑体"/>
          <w:sz w:val="20"/>
          <w:highlight w:val="yellow"/>
        </w:rPr>
      </w:pP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3.绩效目标管理情况。 </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按财政部门要求，我单位201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将雇员、临聘人员经费、城管通数据终端（手机）通讯费、"盐田区智慧城管信息系统"项目使用年费、数字化城管业务经费、办公设备购置费、日常业务经费、"互联网+城市管理"考核工作经费等7个项目纳入部门预算绩效管理并编制预算绩效目标，涉及一般公共预算财政拨款</w:t>
      </w:r>
      <w:r>
        <w:rPr>
          <w:rFonts w:ascii="仿宋_GB2312" w:hAnsi="宋体" w:eastAsia="仿宋_GB2312" w:cs="宋体"/>
          <w:kern w:val="0"/>
          <w:sz w:val="32"/>
          <w:szCs w:val="32"/>
        </w:rPr>
        <w:t>461.40</w:t>
      </w:r>
      <w:r>
        <w:rPr>
          <w:rFonts w:hint="eastAsia" w:ascii="仿宋_GB2312" w:hAnsi="宋体" w:eastAsia="仿宋_GB2312" w:cs="宋体"/>
          <w:kern w:val="0"/>
          <w:sz w:val="32"/>
          <w:szCs w:val="32"/>
        </w:rPr>
        <w:t>万元。</w:t>
      </w:r>
    </w:p>
    <w:p>
      <w:pPr>
        <w:snapToGrid w:val="0"/>
        <w:spacing w:line="580" w:lineRule="exact"/>
        <w:ind w:firstLine="640" w:firstLineChars="200"/>
        <w:rPr>
          <w:rFonts w:ascii="仿宋_GB2312" w:hAnsi="楷体_GB2312" w:eastAsia="仿宋_GB2312" w:cs="楷体_GB2312"/>
          <w:bCs/>
          <w:sz w:val="32"/>
          <w:szCs w:val="32"/>
        </w:rPr>
      </w:pPr>
      <w:r>
        <w:rPr>
          <w:rFonts w:hint="eastAsia" w:ascii="仿宋_GB2312" w:hAnsi="楷体_GB2312" w:eastAsia="仿宋_GB2312" w:cs="楷体_GB2312"/>
          <w:bCs/>
          <w:sz w:val="32"/>
          <w:szCs w:val="32"/>
        </w:rPr>
        <w:t>（四）2019年部门预算执行情况。</w:t>
      </w:r>
    </w:p>
    <w:p>
      <w:pPr>
        <w:pStyle w:val="14"/>
        <w:spacing w:line="400" w:lineRule="atLeast"/>
        <w:ind w:firstLine="640" w:firstLineChars="200"/>
        <w:jc w:val="both"/>
        <w:rPr>
          <w:rFonts w:ascii="仿宋_GB2312" w:eastAsia="仿宋_GB2312" w:cs="宋体"/>
          <w:sz w:val="32"/>
          <w:szCs w:val="32"/>
        </w:rPr>
      </w:pPr>
      <w:r>
        <w:rPr>
          <w:rFonts w:hint="eastAsia" w:ascii="仿宋_GB2312" w:eastAsia="仿宋_GB2312" w:cs="宋体"/>
          <w:sz w:val="32"/>
          <w:szCs w:val="32"/>
        </w:rPr>
        <w:t>201</w:t>
      </w:r>
      <w:r>
        <w:rPr>
          <w:rFonts w:ascii="仿宋_GB2312" w:eastAsia="仿宋_GB2312" w:cs="宋体"/>
          <w:sz w:val="32"/>
          <w:szCs w:val="32"/>
        </w:rPr>
        <w:t>9</w:t>
      </w:r>
      <w:r>
        <w:rPr>
          <w:rFonts w:hint="eastAsia" w:ascii="仿宋_GB2312" w:eastAsia="仿宋_GB2312" w:cs="宋体"/>
          <w:sz w:val="32"/>
          <w:szCs w:val="32"/>
        </w:rPr>
        <w:t>年度我单</w:t>
      </w:r>
      <w:r>
        <w:rPr>
          <w:rFonts w:hint="eastAsia" w:ascii="仿宋_GB2312" w:eastAsia="仿宋_GB2312" w:cs="宋体"/>
          <w:color w:val="auto"/>
          <w:sz w:val="32"/>
          <w:szCs w:val="32"/>
        </w:rPr>
        <w:t>位基本建立</w:t>
      </w:r>
      <w:r>
        <w:rPr>
          <w:rFonts w:hint="eastAsia" w:ascii="仿宋_GB2312" w:eastAsia="仿宋_GB2312" w:cs="宋体"/>
          <w:sz w:val="32"/>
          <w:szCs w:val="32"/>
        </w:rPr>
        <w:t>健全了部门内部管理制度，资金支出、项目管理较为规范，资产配置合理。具体情况如下：</w:t>
      </w:r>
    </w:p>
    <w:p>
      <w:pPr>
        <w:pStyle w:val="14"/>
        <w:spacing w:line="400" w:lineRule="atLeast"/>
        <w:ind w:firstLine="640" w:firstLineChars="200"/>
        <w:jc w:val="both"/>
        <w:rPr>
          <w:rFonts w:ascii="仿宋_GB2312" w:eastAsia="仿宋_GB2312" w:cs="宋体"/>
          <w:sz w:val="32"/>
          <w:szCs w:val="32"/>
        </w:rPr>
      </w:pPr>
      <w:r>
        <w:rPr>
          <w:rFonts w:hint="eastAsia" w:ascii="仿宋_GB2312" w:eastAsia="仿宋_GB2312" w:cs="宋体"/>
          <w:sz w:val="32"/>
          <w:szCs w:val="32"/>
        </w:rPr>
        <w:t>1.预算资金执行情况较好。</w:t>
      </w:r>
    </w:p>
    <w:p>
      <w:pPr>
        <w:pStyle w:val="14"/>
        <w:spacing w:line="400" w:lineRule="atLeast"/>
        <w:ind w:firstLine="640" w:firstLineChars="200"/>
        <w:jc w:val="both"/>
        <w:rPr>
          <w:rFonts w:ascii="仿宋_GB2312" w:eastAsia="仿宋_GB2312" w:cs="宋体"/>
          <w:color w:val="000000" w:themeColor="text1"/>
          <w:sz w:val="32"/>
          <w:szCs w:val="32"/>
          <w14:textFill>
            <w14:solidFill>
              <w14:schemeClr w14:val="tx1"/>
            </w14:solidFill>
          </w14:textFill>
        </w:rPr>
      </w:pPr>
      <w:r>
        <w:rPr>
          <w:rFonts w:hint="eastAsia" w:ascii="仿宋_GB2312" w:eastAsia="仿宋_GB2312" w:cs="宋体"/>
          <w:sz w:val="32"/>
          <w:szCs w:val="32"/>
        </w:rPr>
        <w:t>201</w:t>
      </w:r>
      <w:r>
        <w:rPr>
          <w:rFonts w:ascii="仿宋_GB2312" w:eastAsia="仿宋_GB2312" w:cs="宋体"/>
          <w:sz w:val="32"/>
          <w:szCs w:val="32"/>
        </w:rPr>
        <w:t>9</w:t>
      </w:r>
      <w:r>
        <w:rPr>
          <w:rFonts w:hint="eastAsia" w:ascii="仿宋_GB2312" w:eastAsia="仿宋_GB2312" w:cs="宋体"/>
          <w:sz w:val="32"/>
          <w:szCs w:val="32"/>
        </w:rPr>
        <w:t>年</w:t>
      </w:r>
      <w:r>
        <w:rPr>
          <w:rFonts w:hint="eastAsia" w:ascii="仿宋_GB2312" w:eastAsia="仿宋_GB2312" w:cs="宋体"/>
          <w:color w:val="auto"/>
          <w:sz w:val="32"/>
          <w:szCs w:val="32"/>
        </w:rPr>
        <w:t>，我单位财政拨款预算资金总额为</w:t>
      </w:r>
      <w:r>
        <w:rPr>
          <w:rFonts w:ascii="仿宋_GB2312" w:eastAsia="仿宋_GB2312" w:cs="宋体"/>
          <w:color w:val="auto"/>
          <w:sz w:val="32"/>
          <w:szCs w:val="32"/>
        </w:rPr>
        <w:t>2,332.03</w:t>
      </w:r>
      <w:r>
        <w:rPr>
          <w:rFonts w:hint="eastAsia" w:ascii="仿宋_GB2312" w:eastAsia="仿宋_GB2312" w:cs="宋体"/>
          <w:color w:val="auto"/>
          <w:sz w:val="32"/>
          <w:szCs w:val="32"/>
        </w:rPr>
        <w:t>万元，实际支出</w:t>
      </w:r>
      <w:r>
        <w:rPr>
          <w:rFonts w:ascii="仿宋_GB2312" w:eastAsia="仿宋_GB2312" w:cs="宋体"/>
          <w:color w:val="auto"/>
          <w:sz w:val="32"/>
          <w:szCs w:val="32"/>
        </w:rPr>
        <w:t>2,779.13</w:t>
      </w:r>
      <w:r>
        <w:rPr>
          <w:rFonts w:hint="eastAsia" w:ascii="仿宋_GB2312" w:eastAsia="仿宋_GB2312" w:cs="宋体"/>
          <w:color w:val="auto"/>
          <w:sz w:val="32"/>
          <w:szCs w:val="32"/>
        </w:rPr>
        <w:t>万元，执行率为</w:t>
      </w:r>
      <w:r>
        <w:rPr>
          <w:rFonts w:ascii="仿宋_GB2312" w:eastAsia="仿宋_GB2312" w:cs="宋体"/>
          <w:color w:val="auto"/>
          <w:sz w:val="32"/>
          <w:szCs w:val="32"/>
        </w:rPr>
        <w:t>119.17%</w:t>
      </w:r>
      <w:r>
        <w:rPr>
          <w:rFonts w:hint="eastAsia" w:ascii="仿宋_GB2312" w:eastAsia="仿宋_GB2312" w:cs="宋体"/>
          <w:color w:val="auto"/>
          <w:sz w:val="32"/>
          <w:szCs w:val="32"/>
        </w:rPr>
        <w:t>。年末财政拨款结转和结余</w:t>
      </w:r>
      <w:r>
        <w:rPr>
          <w:rFonts w:ascii="仿宋_GB2312" w:eastAsia="仿宋_GB2312" w:cs="宋体"/>
          <w:color w:val="000000" w:themeColor="text1"/>
          <w:sz w:val="32"/>
          <w:szCs w:val="32"/>
          <w14:textFill>
            <w14:solidFill>
              <w14:schemeClr w14:val="tx1"/>
            </w14:solidFill>
          </w14:textFill>
        </w:rPr>
        <w:t>2.35</w:t>
      </w:r>
      <w:r>
        <w:rPr>
          <w:rFonts w:hint="eastAsia" w:ascii="仿宋_GB2312" w:eastAsia="仿宋_GB2312" w:cs="宋体"/>
          <w:color w:val="000000" w:themeColor="text1"/>
          <w:sz w:val="32"/>
          <w:szCs w:val="32"/>
          <w14:textFill>
            <w14:solidFill>
              <w14:schemeClr w14:val="tx1"/>
            </w14:solidFill>
          </w14:textFill>
        </w:rPr>
        <w:t>万元，占当年度预算总额</w:t>
      </w:r>
      <w:r>
        <w:rPr>
          <w:rFonts w:ascii="仿宋_GB2312" w:eastAsia="仿宋_GB2312" w:cs="宋体"/>
          <w:color w:val="000000" w:themeColor="text1"/>
          <w:sz w:val="32"/>
          <w:szCs w:val="32"/>
          <w14:textFill>
            <w14:solidFill>
              <w14:schemeClr w14:val="tx1"/>
            </w14:solidFill>
          </w14:textFill>
        </w:rPr>
        <w:t>0.10%</w:t>
      </w:r>
      <w:r>
        <w:rPr>
          <w:rFonts w:hint="eastAsia" w:ascii="仿宋_GB2312" w:eastAsia="仿宋_GB2312" w:cs="宋体"/>
          <w:color w:val="000000" w:themeColor="text1"/>
          <w:sz w:val="32"/>
          <w:szCs w:val="32"/>
          <w14:textFill>
            <w14:solidFill>
              <w14:schemeClr w14:val="tx1"/>
            </w14:solidFill>
          </w14:textFill>
        </w:rPr>
        <w:t>，其中项目支出结转和结余</w:t>
      </w:r>
      <w:r>
        <w:rPr>
          <w:rFonts w:ascii="仿宋_GB2312" w:eastAsia="仿宋_GB2312" w:cs="宋体"/>
          <w:color w:val="000000" w:themeColor="text1"/>
          <w:sz w:val="32"/>
          <w:szCs w:val="32"/>
          <w14:textFill>
            <w14:solidFill>
              <w14:schemeClr w14:val="tx1"/>
            </w14:solidFill>
          </w14:textFill>
        </w:rPr>
        <w:t>2.35</w:t>
      </w:r>
      <w:r>
        <w:rPr>
          <w:rFonts w:hint="eastAsia" w:ascii="仿宋_GB2312" w:eastAsia="仿宋_GB2312" w:cs="宋体"/>
          <w:color w:val="000000" w:themeColor="text1"/>
          <w:sz w:val="32"/>
          <w:szCs w:val="32"/>
          <w14:textFill>
            <w14:solidFill>
              <w14:schemeClr w14:val="tx1"/>
            </w14:solidFill>
          </w14:textFill>
        </w:rPr>
        <w:t>万元。采购计划金额</w:t>
      </w:r>
      <w:r>
        <w:rPr>
          <w:rFonts w:ascii="仿宋_GB2312" w:eastAsia="仿宋_GB2312" w:cs="宋体"/>
          <w:color w:val="000000" w:themeColor="text1"/>
          <w:sz w:val="32"/>
          <w:szCs w:val="32"/>
          <w14:textFill>
            <w14:solidFill>
              <w14:schemeClr w14:val="tx1"/>
            </w14:solidFill>
          </w14:textFill>
        </w:rPr>
        <w:t>7.68</w:t>
      </w:r>
      <w:r>
        <w:rPr>
          <w:rFonts w:hint="eastAsia" w:ascii="仿宋_GB2312" w:eastAsia="仿宋_GB2312" w:cs="宋体"/>
          <w:color w:val="000000" w:themeColor="text1"/>
          <w:sz w:val="32"/>
          <w:szCs w:val="32"/>
          <w14:textFill>
            <w14:solidFill>
              <w14:schemeClr w14:val="tx1"/>
            </w14:solidFill>
          </w14:textFill>
        </w:rPr>
        <w:t>万元，实际采购金额</w:t>
      </w:r>
      <w:r>
        <w:rPr>
          <w:rFonts w:ascii="仿宋_GB2312" w:eastAsia="仿宋_GB2312" w:cs="宋体"/>
          <w:color w:val="000000" w:themeColor="text1"/>
          <w:sz w:val="32"/>
          <w:szCs w:val="32"/>
          <w14:textFill>
            <w14:solidFill>
              <w14:schemeClr w14:val="tx1"/>
            </w14:solidFill>
          </w14:textFill>
        </w:rPr>
        <w:t>7.68</w:t>
      </w:r>
      <w:r>
        <w:rPr>
          <w:rFonts w:hint="eastAsia" w:ascii="仿宋_GB2312" w:eastAsia="仿宋_GB2312" w:cs="宋体"/>
          <w:color w:val="000000" w:themeColor="text1"/>
          <w:sz w:val="32"/>
          <w:szCs w:val="32"/>
          <w14:textFill>
            <w14:solidFill>
              <w14:schemeClr w14:val="tx1"/>
            </w14:solidFill>
          </w14:textFill>
        </w:rPr>
        <w:t>万元。</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2.财务管理合法合规。</w:t>
      </w:r>
    </w:p>
    <w:p>
      <w:pPr>
        <w:widowControl/>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我单位资金支出严格按照预算业务管理制度、收支业务管理制度等相关财务制度执行，会计核算规范，不存在超范围、超标准、虚列支出等情况。预决算信息公开严格按照财政部门关于201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年度预决算公开要求，在规定时间以规定的方式公开201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年部门预算及201</w:t>
      </w:r>
      <w:r>
        <w:rPr>
          <w:rFonts w:ascii="仿宋_GB2312" w:hAnsi="宋体" w:eastAsia="仿宋_GB2312" w:cs="宋体"/>
          <w:kern w:val="0"/>
          <w:sz w:val="32"/>
          <w:szCs w:val="32"/>
        </w:rPr>
        <w:t>8</w:t>
      </w:r>
      <w:r>
        <w:rPr>
          <w:rFonts w:hint="eastAsia" w:ascii="仿宋_GB2312" w:hAnsi="宋体" w:eastAsia="仿宋_GB2312" w:cs="宋体"/>
          <w:kern w:val="0"/>
          <w:sz w:val="32"/>
          <w:szCs w:val="32"/>
        </w:rPr>
        <w:t>年部门决算。</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3.项目管理规范有效。</w:t>
      </w:r>
    </w:p>
    <w:p>
      <w:pPr>
        <w:widowControl/>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我单位项目管理严格按照建设项目管理制度执行，项目实施流程规范，招投标建设、验收等关键环节均严格把关，项目监管机制得到落实。出现项目调整时，我单位也均按有关规定履行报批手续。</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4.资产管理安全高效。</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我单位资产保存完整，使用合规，配置合理，处置规范，总体使用效率较高。截至201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年12月31日，我单位国有资产总额为45.39万元，其中：流动资产7.47万元，固定资产37.92万元，无形资产</w:t>
      </w:r>
      <w:r>
        <w:rPr>
          <w:rFonts w:ascii="仿宋_GB2312" w:hAnsi="宋体" w:eastAsia="仿宋_GB2312" w:cs="宋体"/>
          <w:kern w:val="0"/>
          <w:sz w:val="32"/>
          <w:szCs w:val="32"/>
        </w:rPr>
        <w:t>0.00</w:t>
      </w:r>
      <w:r>
        <w:rPr>
          <w:rFonts w:hint="eastAsia" w:ascii="仿宋_GB2312" w:hAnsi="宋体" w:eastAsia="仿宋_GB2312" w:cs="宋体"/>
          <w:kern w:val="0"/>
          <w:sz w:val="32"/>
          <w:szCs w:val="32"/>
        </w:rPr>
        <w:t>万元；负债总额7.83万元，均为流动负债；净资产</w:t>
      </w:r>
      <w:r>
        <w:rPr>
          <w:rFonts w:ascii="仿宋_GB2312" w:hAnsi="宋体" w:eastAsia="仿宋_GB2312" w:cs="宋体"/>
          <w:kern w:val="0"/>
          <w:sz w:val="32"/>
          <w:szCs w:val="32"/>
        </w:rPr>
        <w:t>3</w:t>
      </w:r>
      <w:r>
        <w:rPr>
          <w:rFonts w:hint="eastAsia" w:ascii="仿宋_GB2312" w:hAnsi="宋体" w:eastAsia="仿宋_GB2312" w:cs="宋体"/>
          <w:kern w:val="0"/>
          <w:sz w:val="32"/>
          <w:szCs w:val="32"/>
        </w:rPr>
        <w:t>7.56万元；固定资产总体使用率达到100%。201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年资产有偿使用及处置收入0</w:t>
      </w:r>
      <w:r>
        <w:rPr>
          <w:rFonts w:ascii="仿宋_GB2312" w:hAnsi="宋体" w:eastAsia="仿宋_GB2312" w:cs="宋体"/>
          <w:kern w:val="0"/>
          <w:sz w:val="32"/>
          <w:szCs w:val="32"/>
        </w:rPr>
        <w:t>.05</w:t>
      </w:r>
      <w:r>
        <w:rPr>
          <w:rFonts w:hint="eastAsia" w:ascii="仿宋_GB2312" w:hAnsi="宋体" w:eastAsia="仿宋_GB2312" w:cs="宋体"/>
          <w:kern w:val="0"/>
          <w:sz w:val="32"/>
          <w:szCs w:val="32"/>
        </w:rPr>
        <w:t>万元，已全部上缴国库。固定资产保有及使用情况如下：</w:t>
      </w:r>
    </w:p>
    <w:p>
      <w:pPr>
        <w:spacing w:line="400" w:lineRule="exact"/>
        <w:ind w:firstLine="560" w:firstLineChars="200"/>
        <w:jc w:val="center"/>
        <w:rPr>
          <w:rFonts w:ascii="仿宋_GB2312" w:hAnsi="仿宋_GB2312" w:eastAsia="仿宋_GB2312" w:cs="仿宋_GB2312"/>
          <w:color w:val="000000"/>
          <w:sz w:val="20"/>
          <w:szCs w:val="20"/>
        </w:rPr>
      </w:pPr>
      <w:r>
        <w:rPr>
          <w:rFonts w:hint="eastAsia" w:ascii="黑体" w:hAnsi="黑体" w:eastAsia="黑体"/>
          <w:sz w:val="28"/>
          <w:szCs w:val="28"/>
        </w:rPr>
        <w:t xml:space="preserve">表 </w:t>
      </w:r>
      <w:r>
        <w:rPr>
          <w:rFonts w:ascii="黑体" w:hAnsi="黑体" w:eastAsia="黑体"/>
          <w:sz w:val="28"/>
          <w:szCs w:val="28"/>
        </w:rPr>
        <w:t>4</w:t>
      </w:r>
      <w:r>
        <w:rPr>
          <w:rFonts w:hint="eastAsia" w:ascii="黑体" w:hAnsi="黑体" w:eastAsia="黑体"/>
          <w:sz w:val="28"/>
          <w:szCs w:val="28"/>
        </w:rPr>
        <w:t xml:space="preserve"> 201</w:t>
      </w:r>
      <w:r>
        <w:rPr>
          <w:rFonts w:ascii="黑体" w:hAnsi="黑体" w:eastAsia="黑体"/>
          <w:sz w:val="28"/>
          <w:szCs w:val="28"/>
        </w:rPr>
        <w:t>9</w:t>
      </w:r>
      <w:r>
        <w:rPr>
          <w:rFonts w:hint="eastAsia" w:ascii="黑体" w:hAnsi="黑体" w:eastAsia="黑体"/>
          <w:sz w:val="28"/>
          <w:szCs w:val="28"/>
        </w:rPr>
        <w:t>年度固定资产保有及使用情况表</w:t>
      </w:r>
    </w:p>
    <w:tbl>
      <w:tblPr>
        <w:tblStyle w:val="5"/>
        <w:tblW w:w="9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3843"/>
        <w:gridCol w:w="850"/>
        <w:gridCol w:w="1276"/>
        <w:gridCol w:w="992"/>
        <w:gridCol w:w="1134"/>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5" w:hRule="atLeast"/>
        </w:trPr>
        <w:tc>
          <w:tcPr>
            <w:tcW w:w="3843" w:type="dxa"/>
            <w:vMerge w:val="restart"/>
            <w:vAlign w:val="center"/>
          </w:tcPr>
          <w:p>
            <w:pPr>
              <w:spacing w:line="400" w:lineRule="exact"/>
              <w:ind w:firstLine="722" w:firstLineChars="300"/>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固定资产类别</w:t>
            </w:r>
          </w:p>
        </w:tc>
        <w:tc>
          <w:tcPr>
            <w:tcW w:w="5347" w:type="dxa"/>
            <w:gridSpan w:val="5"/>
            <w:vAlign w:val="center"/>
          </w:tcPr>
          <w:p>
            <w:pPr>
              <w:spacing w:line="400" w:lineRule="exact"/>
              <w:ind w:firstLine="722" w:firstLineChars="300"/>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实有数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40" w:hRule="atLeast"/>
        </w:trPr>
        <w:tc>
          <w:tcPr>
            <w:tcW w:w="3843" w:type="dxa"/>
            <w:vMerge w:val="continue"/>
            <w:vAlign w:val="center"/>
          </w:tcPr>
          <w:p>
            <w:pPr>
              <w:spacing w:line="400" w:lineRule="exact"/>
              <w:ind w:firstLine="722" w:firstLineChars="300"/>
              <w:jc w:val="center"/>
              <w:rPr>
                <w:rFonts w:ascii="仿宋_GB2312" w:hAnsi="仿宋_GB2312" w:eastAsia="仿宋_GB2312" w:cs="仿宋_GB2312"/>
                <w:b/>
                <w:bCs/>
                <w:color w:val="000000"/>
                <w:sz w:val="24"/>
              </w:rPr>
            </w:pPr>
          </w:p>
        </w:tc>
        <w:tc>
          <w:tcPr>
            <w:tcW w:w="850" w:type="dxa"/>
            <w:vAlign w:val="center"/>
          </w:tcPr>
          <w:p>
            <w:pPr>
              <w:spacing w:line="4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数量</w:t>
            </w:r>
          </w:p>
        </w:tc>
        <w:tc>
          <w:tcPr>
            <w:tcW w:w="1276" w:type="dxa"/>
            <w:vAlign w:val="center"/>
          </w:tcPr>
          <w:p>
            <w:pPr>
              <w:spacing w:line="4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原值</w:t>
            </w:r>
          </w:p>
          <w:p>
            <w:pPr>
              <w:spacing w:line="4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（万元）</w:t>
            </w:r>
          </w:p>
        </w:tc>
        <w:tc>
          <w:tcPr>
            <w:tcW w:w="992" w:type="dxa"/>
            <w:vAlign w:val="center"/>
          </w:tcPr>
          <w:p>
            <w:pPr>
              <w:spacing w:line="4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净值</w:t>
            </w:r>
          </w:p>
          <w:p>
            <w:pPr>
              <w:spacing w:line="4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（万元）</w:t>
            </w:r>
          </w:p>
        </w:tc>
        <w:tc>
          <w:tcPr>
            <w:tcW w:w="1134" w:type="dxa"/>
            <w:vAlign w:val="center"/>
          </w:tcPr>
          <w:p>
            <w:pPr>
              <w:spacing w:line="4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其中：在用（万元）</w:t>
            </w:r>
          </w:p>
        </w:tc>
        <w:tc>
          <w:tcPr>
            <w:tcW w:w="1095" w:type="dxa"/>
            <w:vAlign w:val="center"/>
          </w:tcPr>
          <w:p>
            <w:pPr>
              <w:spacing w:line="400" w:lineRule="exact"/>
              <w:jc w:val="center"/>
              <w:rPr>
                <w:rFonts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850"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w:t>
            </w:r>
          </w:p>
        </w:tc>
        <w:tc>
          <w:tcPr>
            <w:tcW w:w="1276" w:type="dxa"/>
          </w:tcPr>
          <w:p>
            <w:pPr>
              <w:spacing w:line="400" w:lineRule="exact"/>
              <w:jc w:val="center"/>
              <w:rPr>
                <w:rFonts w:ascii="仿宋_GB2312" w:eastAsia="仿宋_GB2312"/>
                <w:sz w:val="24"/>
                <w:szCs w:val="32"/>
              </w:rPr>
            </w:pPr>
            <w:r>
              <w:rPr>
                <w:rFonts w:ascii="仿宋_GB2312" w:eastAsia="仿宋_GB2312"/>
                <w:sz w:val="24"/>
                <w:szCs w:val="32"/>
              </w:rPr>
              <w:t>74.33</w:t>
            </w:r>
          </w:p>
        </w:tc>
        <w:tc>
          <w:tcPr>
            <w:tcW w:w="992" w:type="dxa"/>
          </w:tcPr>
          <w:p>
            <w:pPr>
              <w:spacing w:line="400" w:lineRule="exact"/>
              <w:jc w:val="center"/>
              <w:rPr>
                <w:rFonts w:ascii="仿宋_GB2312" w:eastAsia="仿宋_GB2312"/>
                <w:sz w:val="24"/>
                <w:szCs w:val="32"/>
              </w:rPr>
            </w:pPr>
            <w:r>
              <w:rPr>
                <w:rFonts w:ascii="仿宋_GB2312" w:eastAsia="仿宋_GB2312"/>
                <w:sz w:val="24"/>
                <w:szCs w:val="32"/>
              </w:rPr>
              <w:t>37.92</w:t>
            </w:r>
          </w:p>
        </w:tc>
        <w:tc>
          <w:tcPr>
            <w:tcW w:w="1134" w:type="dxa"/>
          </w:tcPr>
          <w:p>
            <w:pPr>
              <w:spacing w:line="400" w:lineRule="exact"/>
              <w:jc w:val="center"/>
              <w:rPr>
                <w:rFonts w:ascii="仿宋_GB2312" w:eastAsia="仿宋_GB2312"/>
                <w:sz w:val="24"/>
                <w:szCs w:val="32"/>
              </w:rPr>
            </w:pPr>
            <w:r>
              <w:rPr>
                <w:rFonts w:ascii="仿宋_GB2312" w:eastAsia="仿宋_GB2312"/>
                <w:sz w:val="24"/>
                <w:szCs w:val="32"/>
              </w:rPr>
              <w:t>37.92</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一、土地、房屋及构筑物</w:t>
            </w:r>
          </w:p>
        </w:tc>
        <w:tc>
          <w:tcPr>
            <w:tcW w:w="850" w:type="dxa"/>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w:t>
            </w:r>
          </w:p>
        </w:tc>
        <w:tc>
          <w:tcPr>
            <w:tcW w:w="1276" w:type="dxa"/>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w:t>
            </w:r>
          </w:p>
        </w:tc>
        <w:tc>
          <w:tcPr>
            <w:tcW w:w="992" w:type="dxa"/>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w:t>
            </w:r>
          </w:p>
        </w:tc>
        <w:tc>
          <w:tcPr>
            <w:tcW w:w="1134" w:type="dxa"/>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8"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其中：房屋(平方米)</w:t>
            </w:r>
          </w:p>
        </w:tc>
        <w:tc>
          <w:tcPr>
            <w:tcW w:w="850" w:type="dxa"/>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w:t>
            </w:r>
          </w:p>
        </w:tc>
        <w:tc>
          <w:tcPr>
            <w:tcW w:w="1276" w:type="dxa"/>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w:t>
            </w:r>
          </w:p>
        </w:tc>
        <w:tc>
          <w:tcPr>
            <w:tcW w:w="992" w:type="dxa"/>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w:t>
            </w:r>
          </w:p>
        </w:tc>
        <w:tc>
          <w:tcPr>
            <w:tcW w:w="1134" w:type="dxa"/>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二、通用设备(个、台、辆等)</w:t>
            </w:r>
          </w:p>
        </w:tc>
        <w:tc>
          <w:tcPr>
            <w:tcW w:w="850"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62</w:t>
            </w:r>
          </w:p>
        </w:tc>
        <w:tc>
          <w:tcPr>
            <w:tcW w:w="1276"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50.66</w:t>
            </w:r>
          </w:p>
        </w:tc>
        <w:tc>
          <w:tcPr>
            <w:tcW w:w="992"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19.94</w:t>
            </w:r>
          </w:p>
        </w:tc>
        <w:tc>
          <w:tcPr>
            <w:tcW w:w="1134"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19.94</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其中：汽车(辆)</w:t>
            </w:r>
          </w:p>
        </w:tc>
        <w:tc>
          <w:tcPr>
            <w:tcW w:w="850"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1</w:t>
            </w:r>
          </w:p>
        </w:tc>
        <w:tc>
          <w:tcPr>
            <w:tcW w:w="1276"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21.81</w:t>
            </w:r>
          </w:p>
        </w:tc>
        <w:tc>
          <w:tcPr>
            <w:tcW w:w="992"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5.94</w:t>
            </w:r>
          </w:p>
        </w:tc>
        <w:tc>
          <w:tcPr>
            <w:tcW w:w="1134"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5.94</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三、专用设备(个、台等)</w:t>
            </w:r>
          </w:p>
        </w:tc>
        <w:tc>
          <w:tcPr>
            <w:tcW w:w="850"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2</w:t>
            </w:r>
          </w:p>
        </w:tc>
        <w:tc>
          <w:tcPr>
            <w:tcW w:w="1276"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1.52</w:t>
            </w:r>
          </w:p>
        </w:tc>
        <w:tc>
          <w:tcPr>
            <w:tcW w:w="992"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0.22</w:t>
            </w:r>
          </w:p>
        </w:tc>
        <w:tc>
          <w:tcPr>
            <w:tcW w:w="1134"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0.22</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四、文物和陈列品(个、件等)</w:t>
            </w:r>
          </w:p>
        </w:tc>
        <w:tc>
          <w:tcPr>
            <w:tcW w:w="850"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2</w:t>
            </w:r>
          </w:p>
        </w:tc>
        <w:tc>
          <w:tcPr>
            <w:tcW w:w="1276"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0.34</w:t>
            </w:r>
          </w:p>
        </w:tc>
        <w:tc>
          <w:tcPr>
            <w:tcW w:w="992"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0.34</w:t>
            </w:r>
          </w:p>
        </w:tc>
        <w:tc>
          <w:tcPr>
            <w:tcW w:w="1134"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0.34</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其中：文物</w:t>
            </w:r>
          </w:p>
        </w:tc>
        <w:tc>
          <w:tcPr>
            <w:tcW w:w="850"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hAnsi="仿宋_GB2312" w:eastAsia="仿宋_GB2312" w:cs="仿宋_GB2312"/>
                <w:color w:val="000000"/>
                <w:sz w:val="24"/>
                <w:szCs w:val="32"/>
              </w:rPr>
              <w:t>0</w:t>
            </w:r>
          </w:p>
        </w:tc>
        <w:tc>
          <w:tcPr>
            <w:tcW w:w="1276"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0.00</w:t>
            </w:r>
          </w:p>
        </w:tc>
        <w:tc>
          <w:tcPr>
            <w:tcW w:w="992"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0.00</w:t>
            </w:r>
          </w:p>
        </w:tc>
        <w:tc>
          <w:tcPr>
            <w:tcW w:w="1134"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eastAsia="仿宋_GB2312"/>
                <w:sz w:val="24"/>
                <w:szCs w:val="32"/>
              </w:rPr>
              <w:t>0.00</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五、图书档案(本、套等)</w:t>
            </w:r>
          </w:p>
        </w:tc>
        <w:tc>
          <w:tcPr>
            <w:tcW w:w="850"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hAnsi="仿宋_GB2312" w:eastAsia="仿宋_GB2312" w:cs="仿宋_GB2312"/>
                <w:color w:val="000000"/>
                <w:sz w:val="24"/>
                <w:szCs w:val="32"/>
              </w:rPr>
              <w:t>1</w:t>
            </w:r>
          </w:p>
        </w:tc>
        <w:tc>
          <w:tcPr>
            <w:tcW w:w="1276"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0.31</w:t>
            </w:r>
          </w:p>
        </w:tc>
        <w:tc>
          <w:tcPr>
            <w:tcW w:w="992"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0.31</w:t>
            </w:r>
          </w:p>
        </w:tc>
        <w:tc>
          <w:tcPr>
            <w:tcW w:w="1134"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0.31</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六、家具、用具、装具及动植物(个、套等)</w:t>
            </w:r>
          </w:p>
        </w:tc>
        <w:tc>
          <w:tcPr>
            <w:tcW w:w="850"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111</w:t>
            </w:r>
          </w:p>
        </w:tc>
        <w:tc>
          <w:tcPr>
            <w:tcW w:w="1276"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21.50</w:t>
            </w:r>
          </w:p>
        </w:tc>
        <w:tc>
          <w:tcPr>
            <w:tcW w:w="992"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17.11</w:t>
            </w:r>
          </w:p>
        </w:tc>
        <w:tc>
          <w:tcPr>
            <w:tcW w:w="1134" w:type="dxa"/>
            <w:vAlign w:val="bottom"/>
          </w:tcPr>
          <w:p>
            <w:pPr>
              <w:spacing w:line="400" w:lineRule="exact"/>
              <w:jc w:val="center"/>
              <w:rPr>
                <w:rFonts w:ascii="仿宋_GB2312" w:hAnsi="仿宋_GB2312" w:eastAsia="仿宋_GB2312" w:cs="仿宋_GB2312"/>
                <w:color w:val="000000"/>
                <w:sz w:val="24"/>
                <w:szCs w:val="32"/>
              </w:rPr>
            </w:pPr>
            <w:r>
              <w:rPr>
                <w:rFonts w:ascii="仿宋_GB2312" w:eastAsia="仿宋_GB2312"/>
                <w:sz w:val="24"/>
                <w:szCs w:val="32"/>
              </w:rPr>
              <w:t>17.11</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0" w:hRule="atLeast"/>
        </w:trPr>
        <w:tc>
          <w:tcPr>
            <w:tcW w:w="3843" w:type="dxa"/>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其中：家具用具</w:t>
            </w:r>
          </w:p>
        </w:tc>
        <w:tc>
          <w:tcPr>
            <w:tcW w:w="850"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hAnsi="仿宋_GB2312" w:eastAsia="仿宋_GB2312" w:cs="仿宋_GB2312"/>
                <w:color w:val="000000"/>
                <w:sz w:val="24"/>
                <w:szCs w:val="32"/>
              </w:rPr>
              <w:t>1</w:t>
            </w:r>
            <w:r>
              <w:rPr>
                <w:rFonts w:ascii="仿宋_GB2312" w:hAnsi="仿宋_GB2312" w:eastAsia="仿宋_GB2312" w:cs="仿宋_GB2312"/>
                <w:color w:val="000000"/>
                <w:sz w:val="24"/>
                <w:szCs w:val="32"/>
              </w:rPr>
              <w:t>09</w:t>
            </w:r>
          </w:p>
        </w:tc>
        <w:tc>
          <w:tcPr>
            <w:tcW w:w="1276"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hAnsi="仿宋_GB2312" w:eastAsia="仿宋_GB2312" w:cs="仿宋_GB2312"/>
                <w:color w:val="000000"/>
                <w:sz w:val="24"/>
                <w:szCs w:val="32"/>
              </w:rPr>
              <w:t>2</w:t>
            </w:r>
            <w:r>
              <w:rPr>
                <w:rFonts w:ascii="仿宋_GB2312" w:hAnsi="仿宋_GB2312" w:eastAsia="仿宋_GB2312" w:cs="仿宋_GB2312"/>
                <w:color w:val="000000"/>
                <w:sz w:val="24"/>
                <w:szCs w:val="32"/>
              </w:rPr>
              <w:t>0.80</w:t>
            </w:r>
          </w:p>
        </w:tc>
        <w:tc>
          <w:tcPr>
            <w:tcW w:w="992"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hAnsi="仿宋_GB2312" w:eastAsia="仿宋_GB2312" w:cs="仿宋_GB2312"/>
                <w:color w:val="000000"/>
                <w:sz w:val="24"/>
                <w:szCs w:val="32"/>
              </w:rPr>
              <w:t>1</w:t>
            </w:r>
            <w:r>
              <w:rPr>
                <w:rFonts w:ascii="仿宋_GB2312" w:hAnsi="仿宋_GB2312" w:eastAsia="仿宋_GB2312" w:cs="仿宋_GB2312"/>
                <w:color w:val="000000"/>
                <w:sz w:val="24"/>
                <w:szCs w:val="32"/>
              </w:rPr>
              <w:t>6.45</w:t>
            </w:r>
          </w:p>
        </w:tc>
        <w:tc>
          <w:tcPr>
            <w:tcW w:w="1134" w:type="dxa"/>
            <w:vAlign w:val="bottom"/>
          </w:tcPr>
          <w:p>
            <w:pPr>
              <w:spacing w:line="400" w:lineRule="exact"/>
              <w:jc w:val="center"/>
              <w:rPr>
                <w:rFonts w:ascii="仿宋_GB2312" w:hAnsi="仿宋_GB2312" w:eastAsia="仿宋_GB2312" w:cs="仿宋_GB2312"/>
                <w:color w:val="000000"/>
                <w:sz w:val="24"/>
                <w:szCs w:val="32"/>
              </w:rPr>
            </w:pPr>
            <w:r>
              <w:rPr>
                <w:rFonts w:hint="eastAsia" w:ascii="仿宋_GB2312" w:hAnsi="仿宋_GB2312" w:eastAsia="仿宋_GB2312" w:cs="仿宋_GB2312"/>
                <w:color w:val="000000"/>
                <w:sz w:val="24"/>
                <w:szCs w:val="32"/>
              </w:rPr>
              <w:t>1</w:t>
            </w:r>
            <w:r>
              <w:rPr>
                <w:rFonts w:ascii="仿宋_GB2312" w:hAnsi="仿宋_GB2312" w:eastAsia="仿宋_GB2312" w:cs="仿宋_GB2312"/>
                <w:color w:val="000000"/>
                <w:sz w:val="24"/>
                <w:szCs w:val="32"/>
              </w:rPr>
              <w:t>6.45</w:t>
            </w:r>
          </w:p>
        </w:tc>
        <w:tc>
          <w:tcPr>
            <w:tcW w:w="1095" w:type="dxa"/>
            <w:vAlign w:val="bottom"/>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bl>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5.人员规模有效控制。</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2019年12月31日止，实有在编职员39名(比上年增加了10名)、临聘人员75名(比上年增加了52名)、退休员工30名(比上年增加2名)</w:t>
      </w:r>
      <w:r>
        <w:rPr>
          <w:rFonts w:hint="eastAsia"/>
        </w:rPr>
        <w:t xml:space="preserve"> ，</w:t>
      </w:r>
      <w:r>
        <w:rPr>
          <w:rFonts w:hint="eastAsia" w:ascii="仿宋_GB2312" w:hAnsi="宋体" w:eastAsia="仿宋_GB2312" w:cs="宋体"/>
          <w:kern w:val="0"/>
          <w:sz w:val="32"/>
          <w:szCs w:val="32"/>
        </w:rPr>
        <w:t>其中11名退休员工由本中心发放工资。</w:t>
      </w:r>
    </w:p>
    <w:p>
      <w:pPr>
        <w:spacing w:line="400" w:lineRule="exact"/>
        <w:ind w:firstLine="560" w:firstLineChars="200"/>
        <w:jc w:val="center"/>
        <w:rPr>
          <w:rFonts w:ascii="仿宋_GB2312" w:hAnsi="仿宋_GB2312" w:eastAsia="仿宋_GB2312" w:cs="仿宋_GB2312"/>
          <w:color w:val="000000"/>
          <w:sz w:val="28"/>
          <w:szCs w:val="28"/>
        </w:rPr>
      </w:pPr>
      <w:r>
        <w:rPr>
          <w:rFonts w:hint="eastAsia" w:ascii="黑体" w:hAnsi="黑体" w:eastAsia="黑体"/>
          <w:sz w:val="28"/>
          <w:szCs w:val="28"/>
        </w:rPr>
        <w:t xml:space="preserve">表 </w:t>
      </w:r>
      <w:r>
        <w:rPr>
          <w:rFonts w:ascii="黑体" w:hAnsi="黑体" w:eastAsia="黑体"/>
          <w:sz w:val="28"/>
          <w:szCs w:val="28"/>
        </w:rPr>
        <w:t>5</w:t>
      </w:r>
      <w:r>
        <w:rPr>
          <w:rFonts w:hint="eastAsia" w:ascii="黑体" w:hAnsi="黑体" w:eastAsia="黑体"/>
          <w:sz w:val="28"/>
          <w:szCs w:val="28"/>
        </w:rPr>
        <w:t xml:space="preserve"> 201</w:t>
      </w:r>
      <w:r>
        <w:rPr>
          <w:rFonts w:ascii="黑体" w:hAnsi="黑体" w:eastAsia="黑体"/>
          <w:sz w:val="28"/>
          <w:szCs w:val="28"/>
        </w:rPr>
        <w:t>9</w:t>
      </w:r>
      <w:r>
        <w:rPr>
          <w:rFonts w:hint="eastAsia" w:ascii="黑体" w:hAnsi="黑体" w:eastAsia="黑体"/>
          <w:sz w:val="28"/>
          <w:szCs w:val="28"/>
        </w:rPr>
        <w:t>年度人员情况表</w:t>
      </w:r>
    </w:p>
    <w:tbl>
      <w:tblPr>
        <w:tblStyle w:val="5"/>
        <w:tblW w:w="5000" w:type="pct"/>
        <w:tblInd w:w="0" w:type="dxa"/>
        <w:tblLayout w:type="autofit"/>
        <w:tblCellMar>
          <w:top w:w="15" w:type="dxa"/>
          <w:left w:w="15" w:type="dxa"/>
          <w:bottom w:w="15" w:type="dxa"/>
          <w:right w:w="15" w:type="dxa"/>
        </w:tblCellMar>
      </w:tblPr>
      <w:tblGrid>
        <w:gridCol w:w="4683"/>
        <w:gridCol w:w="1749"/>
        <w:gridCol w:w="1904"/>
      </w:tblGrid>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人员情况</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编制人数</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年末实有人数</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一、在职人员（人）</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56</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39</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（一）行政</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1.机关人员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(1)共产党机关人员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(2)政府机关人员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(3)人大机关人员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(4)政协机关人员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(5)群众团体人员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(6)民主党派人员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(7)政法机关人员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2.工勤人员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（二）事业</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w:t>
            </w:r>
            <w:r>
              <w:rPr>
                <w:rFonts w:ascii="仿宋_GB2312" w:hAnsi="仿宋_GB2312" w:eastAsia="仿宋_GB2312" w:cs="仿宋_GB2312"/>
                <w:color w:val="000000"/>
                <w:sz w:val="24"/>
              </w:rPr>
              <w:t>6</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39</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1.参照公务员法管理人员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2.财政补助人员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5</w:t>
            </w:r>
            <w:r>
              <w:rPr>
                <w:rFonts w:ascii="仿宋_GB2312" w:hAnsi="仿宋_GB2312" w:eastAsia="仿宋_GB2312" w:cs="仿宋_GB2312"/>
                <w:color w:val="000000"/>
                <w:sz w:val="24"/>
              </w:rPr>
              <w:t>6</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39</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3.经费自理人员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二、离退休人员（人）</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（一）离休人员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（二）退休人员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30</w:t>
            </w:r>
          </w:p>
        </w:tc>
      </w:tr>
    </w:tbl>
    <w:p>
      <w:pPr>
        <w:spacing w:line="580" w:lineRule="exact"/>
        <w:ind w:firstLine="640" w:firstLineChars="200"/>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6.管理制度健全。</w:t>
      </w:r>
    </w:p>
    <w:p>
      <w:pPr>
        <w:spacing w:line="580" w:lineRule="exact"/>
        <w:ind w:firstLine="640" w:firstLineChars="200"/>
        <w:rPr>
          <w:rFonts w:ascii="仿宋_GB2312" w:hAnsi="仿宋_GB2312" w:eastAsia="仿宋_GB2312" w:cs="仿宋_GB2312"/>
          <w:color w:val="000000"/>
          <w:sz w:val="20"/>
          <w:szCs w:val="20"/>
        </w:rPr>
      </w:pPr>
      <w:r>
        <w:rPr>
          <w:rFonts w:hint="eastAsia" w:ascii="仿宋_GB2312" w:eastAsia="仿宋_GB2312" w:cs="仿宋_GB2312"/>
          <w:color w:val="000000"/>
          <w:kern w:val="0"/>
          <w:sz w:val="32"/>
          <w:szCs w:val="32"/>
        </w:rPr>
        <w:t>我单位建立了《预算业务管理制度》、《收支业务管理制度》、《政府采购业务管理制度》、《资产管理制度》、《建设项目管理制度》、《合同管理制度》、《评价与监督管理制度》、《内部控制基本制度》等一系列管理制度，基本涵盖内部控制预算管理、收支管理、政府采购管理、资产管理、建设项目管理、合同管理六大经济业务活动，部门职能履行与预算执行得以保障。</w:t>
      </w:r>
    </w:p>
    <w:p>
      <w:pPr>
        <w:spacing w:line="580" w:lineRule="exact"/>
        <w:ind w:firstLine="627" w:firstLineChars="196"/>
        <w:rPr>
          <w:rFonts w:ascii="黑体" w:hAnsi="黑体" w:eastAsia="黑体"/>
          <w:sz w:val="32"/>
          <w:szCs w:val="32"/>
        </w:rPr>
      </w:pPr>
      <w:r>
        <w:rPr>
          <w:rFonts w:hint="eastAsia" w:ascii="黑体" w:hAnsi="黑体" w:eastAsia="黑体"/>
          <w:sz w:val="32"/>
          <w:szCs w:val="32"/>
        </w:rPr>
        <w:t>二、部门（单位）主要履职绩效分析</w:t>
      </w:r>
    </w:p>
    <w:p>
      <w:pPr>
        <w:spacing w:line="580" w:lineRule="exact"/>
        <w:ind w:firstLine="200"/>
        <w:rPr>
          <w:rFonts w:ascii="楷体_GB2312" w:hAnsi="楷体" w:eastAsia="楷体_GB2312"/>
          <w:b/>
          <w:sz w:val="32"/>
          <w:szCs w:val="32"/>
        </w:rPr>
      </w:pPr>
      <w:r>
        <w:rPr>
          <w:rFonts w:hint="eastAsia" w:ascii="楷体_GB2312" w:hAnsi="楷体" w:eastAsia="楷体_GB2312"/>
          <w:b/>
          <w:sz w:val="32"/>
          <w:szCs w:val="32"/>
        </w:rPr>
        <w:t>（一）主要履职目标</w:t>
      </w:r>
    </w:p>
    <w:p>
      <w:pPr>
        <w:spacing w:line="580" w:lineRule="exact"/>
        <w:ind w:firstLine="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我中心的主要目标是全力推进“智慧城管”建设、市容环境综合考核工作，强化监督考核及安全生产培训。</w:t>
      </w:r>
    </w:p>
    <w:p>
      <w:pPr>
        <w:spacing w:line="580" w:lineRule="exact"/>
        <w:ind w:firstLine="642" w:firstLineChars="200"/>
        <w:rPr>
          <w:rFonts w:ascii="楷体_GB2312" w:hAnsi="楷体" w:eastAsia="楷体_GB2312"/>
          <w:b/>
          <w:sz w:val="32"/>
          <w:szCs w:val="32"/>
        </w:rPr>
      </w:pPr>
      <w:r>
        <w:rPr>
          <w:rFonts w:hint="eastAsia" w:ascii="楷体_GB2312" w:hAnsi="楷体" w:eastAsia="楷体_GB2312"/>
          <w:b/>
          <w:sz w:val="32"/>
          <w:szCs w:val="32"/>
        </w:rPr>
        <w:t>（二）主要履职情况</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城管通数据终端(手机）是为了确保智慧城管系统各级平台正常运行，保障工作的连续性、有序性及管理机制的充分发挥，提升盐田区城市管理水平，并且巩固盐田区城市管理在深圳各个区排名的领先地位的重要工作工具。2019年，我中心操作平台接收案件50757宗(其中信息采集员上报48463宗，占比95.48%),高出全市平均值3个百分点。在深圳市数字城管“互联网+城市管理”考核中，一季度得分99.65名列全市第二名，二季度得分99.79%名列全市第一名，三季度得分99.52名列全市第一名，四季度得分99.83名列全市第一名，全年平均考核得分99.70名列全市第一名。</w:t>
      </w:r>
    </w:p>
    <w:p>
      <w:pPr>
        <w:spacing w:line="580" w:lineRule="exact"/>
        <w:ind w:firstLine="803" w:firstLineChars="250"/>
        <w:rPr>
          <w:rFonts w:ascii="楷体_GB2312" w:hAnsi="楷体" w:eastAsia="楷体_GB2312"/>
          <w:b/>
          <w:sz w:val="32"/>
          <w:szCs w:val="32"/>
        </w:rPr>
      </w:pPr>
      <w:r>
        <w:rPr>
          <w:rFonts w:hint="eastAsia" w:ascii="楷体_GB2312" w:hAnsi="楷体" w:eastAsia="楷体_GB2312"/>
          <w:b/>
          <w:sz w:val="32"/>
          <w:szCs w:val="32"/>
        </w:rPr>
        <w:t>（三）部门履职绩效情况。</w:t>
      </w:r>
    </w:p>
    <w:p>
      <w:pPr>
        <w:spacing w:line="580" w:lineRule="exact"/>
        <w:ind w:firstLine="627" w:firstLineChars="196"/>
        <w:rPr>
          <w:rFonts w:ascii="仿宋_GB2312" w:eastAsia="仿宋_GB2312"/>
          <w:sz w:val="32"/>
          <w:szCs w:val="32"/>
        </w:rPr>
      </w:pPr>
      <w:r>
        <w:rPr>
          <w:rFonts w:hint="eastAsia" w:ascii="仿宋_GB2312" w:eastAsia="仿宋_GB2312"/>
          <w:sz w:val="32"/>
          <w:szCs w:val="32"/>
        </w:rPr>
        <w:t>2019年，在区委、区政府正确领导下和市、区城管局的指导下，认真学习习近平总书记系列</w:t>
      </w:r>
      <w:r>
        <w:rPr>
          <w:rFonts w:hint="eastAsia" w:ascii="仿宋_GB2312" w:hAnsi="Adobe 楷体 Std R" w:eastAsia="仿宋_GB2312"/>
          <w:color w:val="000000"/>
          <w:sz w:val="32"/>
          <w:szCs w:val="32"/>
          <w:lang w:val="en-US" w:eastAsia="zh-CN"/>
        </w:rPr>
        <w:t>重要</w:t>
      </w:r>
      <w:r>
        <w:rPr>
          <w:rFonts w:hint="eastAsia" w:ascii="仿宋_GB2312" w:eastAsia="仿宋_GB2312"/>
          <w:sz w:val="32"/>
          <w:szCs w:val="32"/>
        </w:rPr>
        <w:t xml:space="preserve">讲话，深入开展“主题教育”实践活动，深化支部标准化建设，以党建为引领，全力推进“智慧城管”建设、市容环境综合考核工作。具体情况如下： </w:t>
      </w:r>
    </w:p>
    <w:p>
      <w:pPr>
        <w:spacing w:line="580" w:lineRule="exact"/>
        <w:ind w:firstLine="627" w:firstLineChars="196"/>
        <w:rPr>
          <w:rFonts w:ascii="仿宋_GB2312" w:eastAsia="仿宋_GB2312"/>
          <w:sz w:val="32"/>
          <w:szCs w:val="32"/>
        </w:rPr>
      </w:pPr>
      <w:r>
        <w:rPr>
          <w:rFonts w:hint="eastAsia" w:ascii="仿宋_GB2312" w:eastAsia="仿宋_GB2312"/>
          <w:sz w:val="32"/>
          <w:szCs w:val="32"/>
        </w:rPr>
        <w:t>（一）深入开展基层党建工作</w:t>
      </w:r>
    </w:p>
    <w:p>
      <w:pPr>
        <w:spacing w:line="580" w:lineRule="exact"/>
        <w:ind w:firstLine="627" w:firstLineChars="196"/>
        <w:rPr>
          <w:rFonts w:ascii="仿宋_GB2312" w:eastAsia="仿宋_GB2312"/>
          <w:sz w:val="32"/>
          <w:szCs w:val="32"/>
        </w:rPr>
      </w:pPr>
      <w:r>
        <w:rPr>
          <w:rFonts w:hint="eastAsia" w:ascii="仿宋_GB2312" w:eastAsia="仿宋_GB2312"/>
          <w:sz w:val="32"/>
          <w:szCs w:val="32"/>
        </w:rPr>
        <w:t>中心始终坚持把学习宣传贯彻习近平新时代中国特色社会主义思想作为首要政治任务，扎实开展“不忘初心、牢记使命”主题教育。在第二批主题教育期间，通过原原本本学原著，以理论滋养初心、以理论引领使命，2019年累计进行“第一议题”学习30余次。高标准打造党建活动室和学习室，住建部信息中心、省委巡查组、市委指导组等相关领导前来参观并予以高度肯定。</w:t>
      </w:r>
    </w:p>
    <w:p>
      <w:pPr>
        <w:spacing w:line="580" w:lineRule="exact"/>
        <w:ind w:firstLine="627" w:firstLineChars="196"/>
        <w:rPr>
          <w:rFonts w:ascii="仿宋_GB2312" w:eastAsia="仿宋_GB2312"/>
          <w:sz w:val="32"/>
          <w:szCs w:val="32"/>
        </w:rPr>
      </w:pPr>
      <w:r>
        <w:rPr>
          <w:rFonts w:hint="eastAsia" w:ascii="仿宋_GB2312" w:eastAsia="仿宋_GB2312"/>
          <w:sz w:val="32"/>
          <w:szCs w:val="32"/>
        </w:rPr>
        <w:t>同时着力基层实际，做实支部建设。结合贯彻落实省委、市委关于加强党的基层组织建设三年行动计划安排、《深圳市党支部标准化建设基本指标》和《盐田区党支部标准化建设基本规范指引（试行）》等要求，规范日常党建工作、加强党员队伍建设，前往深圳党史馆、方志馆参观学习，在区党群服务中心开展主题党日活动“重温历史，不忘初心”，到河源开展扶贫工作，以实际行动践行初心和使命。</w:t>
      </w:r>
    </w:p>
    <w:p>
      <w:pPr>
        <w:spacing w:line="580" w:lineRule="exact"/>
        <w:ind w:firstLine="627" w:firstLineChars="196"/>
        <w:rPr>
          <w:rFonts w:ascii="仿宋_GB2312" w:eastAsia="仿宋_GB2312"/>
          <w:sz w:val="32"/>
          <w:szCs w:val="32"/>
        </w:rPr>
      </w:pPr>
      <w:r>
        <w:rPr>
          <w:rFonts w:hint="eastAsia" w:ascii="仿宋_GB2312" w:eastAsia="仿宋_GB2312"/>
          <w:sz w:val="32"/>
          <w:szCs w:val="32"/>
        </w:rPr>
        <w:t>（二）全力推进“智慧城管”系统建设</w:t>
      </w:r>
    </w:p>
    <w:p>
      <w:pPr>
        <w:spacing w:line="580" w:lineRule="exact"/>
        <w:ind w:firstLine="627" w:firstLineChars="196"/>
        <w:rPr>
          <w:rFonts w:ascii="仿宋_GB2312" w:eastAsia="仿宋_GB2312"/>
          <w:sz w:val="32"/>
          <w:szCs w:val="32"/>
        </w:rPr>
      </w:pPr>
      <w:r>
        <w:rPr>
          <w:rFonts w:hint="eastAsia" w:ascii="仿宋_GB2312" w:eastAsia="仿宋_GB2312"/>
          <w:sz w:val="32"/>
          <w:szCs w:val="32"/>
        </w:rPr>
        <w:t>根据《中共中央国务院关于深入推进城市执法体制改革改进城市管理工作的指导意见》（中发〔2015〕37号）和《深圳市智慧城管建设十三五规划纲要〔2016-2020〕（试行）》有关规定，制定印发了《盐田区智慧城管运行管理规定（试行）》，“智慧城管”系统于2019年7月27日正式上线运行，包含执法、环卫、绿化、公园、森防、绿道、自行车、户外广告、综合考核9个精细化管理子系统，建成集感知、分析、服务、指挥、监察“五位一体”的盐田智慧城管大平台，对主动巡查发现和群众各渠道反映的问题，做到准确定位，实时“秒”派，充分发挥了快速反应、精准定位和监督完成的智慧效能。10月25日，</w:t>
      </w:r>
      <w:bookmarkStart w:id="1" w:name="_GoBack"/>
      <w:bookmarkEnd w:id="1"/>
      <w:r>
        <w:rPr>
          <w:rFonts w:hint="eastAsia" w:ascii="仿宋_GB2312" w:eastAsia="仿宋_GB2312"/>
          <w:sz w:val="32"/>
          <w:szCs w:val="32"/>
        </w:rPr>
        <w:t>住建部组织120多名行业专家在区城管监督指挥中心召开了现场观摩交流会。</w:t>
      </w:r>
    </w:p>
    <w:p>
      <w:pPr>
        <w:spacing w:line="580" w:lineRule="exact"/>
        <w:ind w:firstLine="627" w:firstLineChars="196"/>
        <w:rPr>
          <w:rFonts w:ascii="仿宋_GB2312" w:eastAsia="仿宋_GB2312"/>
          <w:sz w:val="32"/>
          <w:szCs w:val="32"/>
        </w:rPr>
      </w:pPr>
      <w:r>
        <w:rPr>
          <w:rFonts w:hint="eastAsia" w:ascii="仿宋_GB2312" w:eastAsia="仿宋_GB2312"/>
          <w:sz w:val="32"/>
          <w:szCs w:val="32"/>
        </w:rPr>
        <w:t>截至12月31日，盐田智慧城管系统通过监督员、市民及“12319”“12345”电话热线等上报渠道共立案50757宗（含环卫日常巡查案件），结案50569宗，结案率达99.63%。2019年10-12月（7-9月为各企业系统考核适应期）自动生成考核报表扣罚环卫企业88.96万元（10月：27.62万元，11月：25.94万元，12月：35.4万元）。</w:t>
      </w:r>
    </w:p>
    <w:p>
      <w:pPr>
        <w:spacing w:line="580" w:lineRule="exact"/>
        <w:ind w:firstLine="627" w:firstLineChars="196"/>
        <w:rPr>
          <w:rFonts w:ascii="仿宋_GB2312" w:eastAsia="仿宋_GB2312"/>
          <w:sz w:val="32"/>
          <w:szCs w:val="32"/>
        </w:rPr>
      </w:pPr>
      <w:r>
        <w:rPr>
          <w:rFonts w:hint="eastAsia" w:ascii="仿宋_GB2312" w:eastAsia="仿宋_GB2312"/>
          <w:sz w:val="32"/>
          <w:szCs w:val="32"/>
        </w:rPr>
        <w:t>为进一步摸清“盐田家底”，整合城市管理资源，在上级指导下同步开展三维数据普查工作，建立城市部件与实景影像、实景三维数据的关联融合，实现城市部件的三维可视化管理。目前数据普查工作及数据入库工作已基本完成。本次数据普查完成后，将为今后精准化管理、视频研判提供基础。</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（三）市容环境综合考核成绩优异</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今年4月份机构改革后，中心定位突出“净化”。原市容环境管理中心的环境卫生监督职能纳入中心职责范围。为保障各项工作顺利交接和稳步推进，充分利用“智慧城管”环卫精细化管理系统，实施环卫案件上报制度，至12月31日上报案件结案率达100%，实现了对环卫外包服务企业的有效监督。在4月至12月全市环卫指数测评考核工作，获得了7个月第一、2个月第二，全年总评第一的好成绩，我区市容环境考核工作取得“八连冠”的优异成绩。</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 xml:space="preserve"> 三、总体评价和整改措施</w:t>
      </w:r>
    </w:p>
    <w:p>
      <w:pPr>
        <w:widowControl/>
        <w:spacing w:line="580" w:lineRule="exact"/>
        <w:ind w:firstLine="640" w:firstLineChars="200"/>
        <w:jc w:val="left"/>
        <w:rPr>
          <w:rFonts w:ascii="仿宋_GB2312" w:eastAsia="仿宋_GB2312" w:cs="宋体"/>
          <w:color w:val="000000"/>
          <w:kern w:val="0"/>
          <w:sz w:val="32"/>
          <w:szCs w:val="32"/>
        </w:rPr>
      </w:pPr>
      <w:bookmarkStart w:id="0" w:name="_Hlk40192655"/>
      <w:r>
        <w:rPr>
          <w:rFonts w:hint="eastAsia" w:ascii="仿宋_GB2312" w:eastAsia="仿宋_GB2312" w:cs="宋体"/>
          <w:color w:val="000000"/>
          <w:kern w:val="0"/>
          <w:sz w:val="32"/>
          <w:szCs w:val="32"/>
        </w:rPr>
        <w:t>通过近年来高强度绩效评价工作的开展，工作取得了一定成效。一是单位绩效管理理念进一步加强。从评价项目来看，单位在项目立项依据、项目实施过程、项目的监督以及项目达到的效果等方面进行了有效管理，工作过程进一步得到了规范，绩效管理理念进一步得到了强化。二是实现绩效管理单位全覆盖。从年初单位项目绩效目标编制到开展自评，均实现单位全覆盖，单位绩效管理工作正步入常态化、长效化管理轨道。</w:t>
      </w:r>
    </w:p>
    <w:p>
      <w:pPr>
        <w:spacing w:line="580" w:lineRule="exact"/>
        <w:ind w:firstLine="642" w:firstLineChars="200"/>
        <w:rPr>
          <w:rFonts w:ascii="仿宋_GB2312" w:eastAsia="仿宋_GB2312"/>
          <w:sz w:val="32"/>
          <w:szCs w:val="32"/>
        </w:rPr>
      </w:pPr>
      <w:r>
        <w:rPr>
          <w:rFonts w:hint="eastAsia" w:ascii="楷体_GB2312" w:eastAsia="楷体_GB2312"/>
          <w:b/>
          <w:sz w:val="32"/>
          <w:szCs w:val="32"/>
        </w:rPr>
        <w:t>（一）</w:t>
      </w:r>
      <w:r>
        <w:rPr>
          <w:rFonts w:hint="eastAsia" w:ascii="仿宋_GB2312" w:eastAsia="仿宋_GB2312"/>
          <w:sz w:val="32"/>
          <w:szCs w:val="32"/>
        </w:rPr>
        <w:t>预算绩效管理工作主要经验、做法。</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（1）政府重视、部门协调、政策支持</w:t>
      </w:r>
    </w:p>
    <w:p>
      <w:pPr>
        <w:spacing w:line="580" w:lineRule="exact"/>
        <w:ind w:firstLine="640" w:firstLineChars="200"/>
        <w:rPr>
          <w:rFonts w:ascii="仿宋_GB2312" w:eastAsia="仿宋_GB2312" w:cs="宋体"/>
          <w:color w:val="000000"/>
          <w:kern w:val="0"/>
          <w:sz w:val="32"/>
          <w:szCs w:val="32"/>
        </w:rPr>
      </w:pPr>
      <w:r>
        <w:rPr>
          <w:rFonts w:hint="eastAsia" w:ascii="仿宋_GB2312" w:eastAsia="仿宋_GB2312" w:cs="宋体"/>
          <w:color w:val="000000"/>
          <w:kern w:val="0"/>
          <w:sz w:val="32"/>
          <w:szCs w:val="32"/>
        </w:rPr>
        <w:t>深圳市政府近年积极推进单位的预算绩效评价工作，2019年为推动绩效考核盐田区财政局印（深盐财〔2020〕39号）深圳市盐田区财政局关于做好2019年预算绩效评价工作的通知，对本单位绩效自评工作做出指引性规定。本单位按照市、区财政对绩效管理工作进行部署，认真贯彻市、区有关文件精神，积极推进预算绩效管理工作，不断提高预算绩效管理工作的质量和水平，提高财政资金使用效益,尽量用最少的资金做到更好、更多的事情。</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（2）制定了适合本单位的预算管理制度</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2019年本单位与时俱进，根据上一年度提出的意见就收入预算管理、支出预算管理制度、年终决算制度、绩效考核制度等方面修订了较为详细的管理制度，为2019年度及以后的预算编制及考核提供具有政策性指导制度，使本单位有关工作有据可依。</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（3）明确各职能部门职责，充分调动各职能部门积极性</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各职能部门是各项目的具体执行人，熟悉各类项目的实际情况，从编制项目预算、制定绩效指标、绩效自我评价及总结等，各职能部门都积极参与并保证项目落实到实处，高质量的完成年初计划任务。</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（4）认真制定各关键指标，共同参与绩效管理</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对重点项目各职能部门积极参与项目绩效评价指标的制定，使项目绩效评价具有可操作性，而不是一纸空文</w:t>
      </w:r>
      <w:bookmarkEnd w:id="0"/>
      <w:r>
        <w:rPr>
          <w:rFonts w:hint="eastAsia" w:ascii="仿宋_GB2312" w:eastAsia="仿宋_GB2312"/>
          <w:sz w:val="32"/>
          <w:szCs w:val="32"/>
        </w:rPr>
        <w:t>。</w:t>
      </w:r>
    </w:p>
    <w:p>
      <w:pPr>
        <w:spacing w:line="580" w:lineRule="exact"/>
        <w:ind w:firstLine="642" w:firstLineChars="200"/>
        <w:rPr>
          <w:rFonts w:ascii="仿宋_GB2312" w:eastAsia="仿宋_GB2312"/>
          <w:sz w:val="32"/>
          <w:szCs w:val="32"/>
        </w:rPr>
      </w:pPr>
      <w:r>
        <w:rPr>
          <w:rFonts w:hint="eastAsia" w:ascii="楷体_GB2312" w:eastAsia="楷体_GB2312"/>
          <w:b/>
          <w:sz w:val="32"/>
          <w:szCs w:val="32"/>
        </w:rPr>
        <w:t>（二）</w:t>
      </w:r>
      <w:r>
        <w:rPr>
          <w:rFonts w:hint="eastAsia" w:ascii="仿宋_GB2312" w:eastAsia="仿宋_GB2312"/>
          <w:sz w:val="32"/>
          <w:szCs w:val="32"/>
        </w:rPr>
        <w:t>部门整体支出绩效存在问题及改进措施。</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（1）存在问题</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1）项目预算不够科学，存在对下年度工作的统筹考虑还不够周全和详细，导致编制出的预算不够全面和准确，执行期间调整预算的情况发生。</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2）整个预算执行过程中，没有过程监督机制，预算执行中，可能出现没有完全按照计划进度执行的情况。</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（2）改进措施</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细化预算编制工作，认真做好预算的编制。进一步加强预算管理意识，严格按照预算编制的相关制度和要求，本着“勤俭节约、保障运转”的原则进行预算的编制；根据项目进度进一步细化经费下达时间；编制范围尽可能的全面、不漏项，进一步提高预算编制的科学性、合理性、严谨性和可控性。</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2）在日常预算管理过程中，按照区委区政府的工作部署，进一步加强与区财政预算编报、审核的衔接，强化内部预算支出管理、跟踪，按月对预算执行情况分析，切实加快预算执行进度。</w:t>
      </w:r>
    </w:p>
    <w:p>
      <w:pPr>
        <w:spacing w:line="580" w:lineRule="exact"/>
        <w:ind w:firstLine="642" w:firstLineChars="200"/>
        <w:rPr>
          <w:rFonts w:ascii="仿宋_GB2312" w:eastAsia="仿宋_GB2312"/>
          <w:sz w:val="32"/>
          <w:szCs w:val="32"/>
        </w:rPr>
      </w:pPr>
      <w:r>
        <w:rPr>
          <w:rFonts w:hint="eastAsia" w:ascii="楷体_GB2312" w:eastAsia="楷体_GB2312"/>
          <w:b/>
          <w:sz w:val="32"/>
          <w:szCs w:val="32"/>
        </w:rPr>
        <w:t>（三）</w:t>
      </w:r>
      <w:r>
        <w:rPr>
          <w:rFonts w:hint="eastAsia" w:ascii="仿宋_GB2312" w:eastAsia="仿宋_GB2312"/>
          <w:sz w:val="32"/>
          <w:szCs w:val="32"/>
        </w:rPr>
        <w:t>后续工作计划、相关建议等。</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1）为进一步提高资金的支出进度及使用效能，拟采取倒推制，倒推预算执行计划和进度，将每一个预算项目落实责任人，每月对部门预算进度进行通报，跟踪督办。</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2）在201</w:t>
      </w:r>
      <w:r>
        <w:rPr>
          <w:rFonts w:ascii="仿宋_GB2312" w:eastAsia="仿宋_GB2312"/>
          <w:sz w:val="32"/>
          <w:szCs w:val="32"/>
        </w:rPr>
        <w:t>9</w:t>
      </w:r>
      <w:r>
        <w:rPr>
          <w:rFonts w:hint="eastAsia" w:ascii="仿宋_GB2312" w:eastAsia="仿宋_GB2312"/>
          <w:sz w:val="32"/>
          <w:szCs w:val="32"/>
        </w:rPr>
        <w:t>年预算绩效考评的基础上，通过建立健全项目事前、事中、事后的一体化预算执行考评机制和项目绩效评价机制，做好项目的过程监管，充分运用评价结果，提高资金使用效能。</w:t>
      </w:r>
    </w:p>
    <w:p>
      <w:pPr>
        <w:spacing w:line="58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）加强沟通与辅导、提高认识。根据制定的考核目标及关键考核指标，预算执行监督部门应积极与预算执行部门进行沟通，确定指标制定的合理性、执行的有效性等，为将来目标制定提供可参考的依据。</w:t>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p>
    <w:p>
      <w:pPr>
        <w:spacing w:line="58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）突出预算项目管理的绩效性。以深入推进绩效评价为核心，结合本单位项目实际，建立科学、准确的指标体系，体现“经济、效率、效果”，严格评价流程，切实提高评价结果的客观、公正。</w:t>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p>
    <w:p>
      <w:pPr>
        <w:spacing w:line="580" w:lineRule="exact"/>
        <w:ind w:firstLine="640" w:firstLineChars="200"/>
        <w:rPr>
          <w:rFonts w:ascii="仿宋_GB2312" w:eastAsia="仿宋_GB2312"/>
          <w:sz w:val="32"/>
          <w:szCs w:val="32"/>
        </w:rPr>
      </w:pPr>
      <w:r>
        <w:rPr>
          <w:rFonts w:hint="eastAsia" w:ascii="黑体" w:hAnsi="黑体" w:eastAsia="黑体"/>
          <w:sz w:val="32"/>
          <w:szCs w:val="32"/>
        </w:rPr>
        <w:t>四、部门整体支出绩效评价指标评分情况</w:t>
      </w:r>
    </w:p>
    <w:p>
      <w:pPr>
        <w:spacing w:line="580" w:lineRule="exact"/>
        <w:ind w:firstLine="640" w:firstLineChars="200"/>
        <w:rPr>
          <w:rFonts w:ascii="仿宋_GB2312" w:eastAsia="仿宋_GB2312"/>
          <w:sz w:val="32"/>
          <w:szCs w:val="32"/>
          <w:highlight w:val="yellow"/>
        </w:rPr>
        <w:sectPr>
          <w:pgSz w:w="11906" w:h="16838"/>
          <w:pgMar w:top="1440" w:right="1800" w:bottom="1440" w:left="1800" w:header="851" w:footer="992" w:gutter="0"/>
          <w:cols w:space="425" w:num="1"/>
          <w:docGrid w:type="lines" w:linePitch="312" w:charSpace="0"/>
        </w:sectPr>
      </w:pPr>
      <w:r>
        <w:rPr>
          <w:rFonts w:hint="eastAsia" w:ascii="仿宋_GB2312" w:eastAsia="仿宋_GB2312"/>
          <w:sz w:val="32"/>
          <w:szCs w:val="32"/>
        </w:rPr>
        <w:t>参照《部门整体绩效自评表》进行自评，填报得分</w:t>
      </w:r>
      <w:r>
        <w:rPr>
          <w:rFonts w:ascii="仿宋_GB2312" w:eastAsia="仿宋_GB2312"/>
          <w:sz w:val="32"/>
          <w:szCs w:val="32"/>
        </w:rPr>
        <w:t>93.48</w:t>
      </w:r>
      <w:r>
        <w:rPr>
          <w:rFonts w:hint="eastAsia" w:ascii="仿宋_GB2312" w:eastAsia="仿宋_GB2312"/>
          <w:sz w:val="32"/>
          <w:szCs w:val="32"/>
        </w:rPr>
        <w:t>分。</w:t>
      </w:r>
    </w:p>
    <w:p>
      <w:pPr>
        <w:jc w:val="center"/>
        <w:rPr>
          <w:rFonts w:ascii="宋体" w:hAnsi="宋体"/>
          <w:b/>
          <w:bCs/>
          <w:sz w:val="28"/>
          <w:szCs w:val="28"/>
          <w:highlight w:val="yellow"/>
        </w:rPr>
      </w:pPr>
      <w:r>
        <w:rPr>
          <w:rFonts w:hint="eastAsia" w:ascii="宋体" w:hAnsi="宋体"/>
          <w:b/>
          <w:bCs/>
          <w:sz w:val="28"/>
          <w:szCs w:val="28"/>
        </w:rPr>
        <w:t>2019年度部门整体支出绩效自评表</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4"/>
        <w:gridCol w:w="1347"/>
        <w:gridCol w:w="1466"/>
        <w:gridCol w:w="1681"/>
        <w:gridCol w:w="2259"/>
        <w:gridCol w:w="3941"/>
        <w:gridCol w:w="1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9" w:type="pct"/>
            <w:noWrap/>
            <w:vAlign w:val="center"/>
          </w:tcPr>
          <w:p>
            <w:pPr>
              <w:rPr>
                <w:sz w:val="18"/>
                <w:szCs w:val="18"/>
              </w:rPr>
            </w:pPr>
            <w:r>
              <w:rPr>
                <w:rFonts w:hint="eastAsia"/>
                <w:sz w:val="18"/>
                <w:szCs w:val="18"/>
              </w:rPr>
              <w:t>部门单位名称</w:t>
            </w:r>
          </w:p>
        </w:tc>
        <w:tc>
          <w:tcPr>
            <w:tcW w:w="1585" w:type="pct"/>
            <w:gridSpan w:val="3"/>
            <w:noWrap/>
            <w:vAlign w:val="center"/>
          </w:tcPr>
          <w:p>
            <w:pPr>
              <w:rPr>
                <w:rFonts w:hint="eastAsia"/>
                <w:sz w:val="18"/>
                <w:szCs w:val="18"/>
              </w:rPr>
            </w:pPr>
            <w:r>
              <w:rPr>
                <w:rFonts w:hint="eastAsia"/>
                <w:sz w:val="18"/>
                <w:szCs w:val="18"/>
              </w:rPr>
              <w:t>盐田区城市管理监督指挥中心</w:t>
            </w:r>
          </w:p>
        </w:tc>
        <w:tc>
          <w:tcPr>
            <w:tcW w:w="797" w:type="pct"/>
            <w:noWrap/>
            <w:vAlign w:val="center"/>
          </w:tcPr>
          <w:p>
            <w:pPr>
              <w:rPr>
                <w:rFonts w:hint="eastAsia"/>
                <w:sz w:val="18"/>
                <w:szCs w:val="18"/>
              </w:rPr>
            </w:pPr>
            <w:r>
              <w:rPr>
                <w:rFonts w:hint="eastAsia"/>
                <w:sz w:val="18"/>
                <w:szCs w:val="18"/>
              </w:rPr>
              <w:t>全年预算数</w:t>
            </w:r>
          </w:p>
        </w:tc>
        <w:tc>
          <w:tcPr>
            <w:tcW w:w="1390" w:type="pct"/>
            <w:noWrap/>
            <w:vAlign w:val="center"/>
          </w:tcPr>
          <w:p>
            <w:pPr>
              <w:rPr>
                <w:rFonts w:hint="eastAsia"/>
                <w:sz w:val="18"/>
                <w:szCs w:val="18"/>
              </w:rPr>
            </w:pPr>
            <w:r>
              <w:rPr>
                <w:rFonts w:hint="eastAsia"/>
                <w:sz w:val="18"/>
                <w:szCs w:val="18"/>
              </w:rPr>
              <w:t>全年执行数</w:t>
            </w:r>
          </w:p>
        </w:tc>
        <w:tc>
          <w:tcPr>
            <w:tcW w:w="610" w:type="pct"/>
            <w:noWrap/>
            <w:vAlign w:val="center"/>
          </w:tcPr>
          <w:p>
            <w:pPr>
              <w:rPr>
                <w:rFonts w:hint="eastAsia"/>
                <w:sz w:val="18"/>
                <w:szCs w:val="18"/>
              </w:rPr>
            </w:pPr>
            <w:r>
              <w:rPr>
                <w:rFonts w:hint="eastAsia"/>
                <w:sz w:val="18"/>
                <w:szCs w:val="18"/>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619" w:type="pct"/>
            <w:vMerge w:val="restart"/>
            <w:noWrap/>
            <w:vAlign w:val="center"/>
          </w:tcPr>
          <w:p>
            <w:pPr>
              <w:rPr>
                <w:rFonts w:hint="eastAsia"/>
                <w:sz w:val="18"/>
                <w:szCs w:val="18"/>
              </w:rPr>
            </w:pPr>
            <w:r>
              <w:rPr>
                <w:rFonts w:hint="eastAsia"/>
                <w:sz w:val="18"/>
                <w:szCs w:val="18"/>
              </w:rPr>
              <w:t>整体支出规模</w:t>
            </w:r>
          </w:p>
        </w:tc>
        <w:tc>
          <w:tcPr>
            <w:tcW w:w="1585" w:type="pct"/>
            <w:gridSpan w:val="3"/>
            <w:vAlign w:val="center"/>
          </w:tcPr>
          <w:p>
            <w:pPr>
              <w:rPr>
                <w:rFonts w:hint="eastAsia"/>
                <w:sz w:val="18"/>
                <w:szCs w:val="18"/>
              </w:rPr>
            </w:pPr>
            <w:r>
              <w:rPr>
                <w:rFonts w:hint="eastAsia"/>
                <w:sz w:val="18"/>
                <w:szCs w:val="18"/>
              </w:rPr>
              <w:t>财政拨款</w:t>
            </w:r>
          </w:p>
        </w:tc>
        <w:tc>
          <w:tcPr>
            <w:tcW w:w="797" w:type="pct"/>
            <w:noWrap/>
            <w:vAlign w:val="center"/>
          </w:tcPr>
          <w:p>
            <w:pPr>
              <w:rPr>
                <w:rFonts w:hint="eastAsia"/>
                <w:sz w:val="18"/>
                <w:szCs w:val="18"/>
              </w:rPr>
            </w:pPr>
            <w:r>
              <w:rPr>
                <w:rFonts w:hint="eastAsia"/>
                <w:sz w:val="18"/>
                <w:szCs w:val="18"/>
              </w:rPr>
              <w:t>29,741,849.02</w:t>
            </w:r>
          </w:p>
        </w:tc>
        <w:tc>
          <w:tcPr>
            <w:tcW w:w="1390" w:type="pct"/>
            <w:noWrap/>
            <w:vAlign w:val="center"/>
          </w:tcPr>
          <w:p>
            <w:pPr>
              <w:rPr>
                <w:rFonts w:hint="eastAsia"/>
                <w:sz w:val="18"/>
                <w:szCs w:val="18"/>
              </w:rPr>
            </w:pPr>
            <w:r>
              <w:rPr>
                <w:rFonts w:hint="eastAsia"/>
                <w:sz w:val="18"/>
                <w:szCs w:val="18"/>
              </w:rPr>
              <w:t>27,791,275.60</w:t>
            </w:r>
          </w:p>
        </w:tc>
        <w:tc>
          <w:tcPr>
            <w:tcW w:w="610" w:type="pct"/>
            <w:noWrap/>
            <w:vAlign w:val="center"/>
          </w:tcPr>
          <w:p>
            <w:pPr>
              <w:rPr>
                <w:rFonts w:hint="eastAsia"/>
                <w:sz w:val="18"/>
                <w:szCs w:val="18"/>
              </w:rPr>
            </w:pPr>
            <w:r>
              <w:rPr>
                <w:rFonts w:hint="eastAsia"/>
                <w:sz w:val="18"/>
                <w:szCs w:val="18"/>
              </w:rPr>
              <w:t>93.44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9" w:type="pct"/>
            <w:vMerge w:val="continue"/>
            <w:vAlign w:val="center"/>
          </w:tcPr>
          <w:p>
            <w:pPr>
              <w:rPr>
                <w:sz w:val="18"/>
                <w:szCs w:val="18"/>
              </w:rPr>
            </w:pPr>
          </w:p>
        </w:tc>
        <w:tc>
          <w:tcPr>
            <w:tcW w:w="992" w:type="pct"/>
            <w:gridSpan w:val="2"/>
            <w:vMerge w:val="restart"/>
            <w:noWrap/>
            <w:vAlign w:val="center"/>
          </w:tcPr>
          <w:p>
            <w:pPr>
              <w:rPr>
                <w:rFonts w:hint="eastAsia"/>
                <w:sz w:val="18"/>
                <w:szCs w:val="18"/>
              </w:rPr>
            </w:pPr>
            <w:r>
              <w:rPr>
                <w:rFonts w:hint="eastAsia"/>
                <w:sz w:val="18"/>
                <w:szCs w:val="18"/>
              </w:rPr>
              <w:t>资金结构：</w:t>
            </w:r>
          </w:p>
        </w:tc>
        <w:tc>
          <w:tcPr>
            <w:tcW w:w="593" w:type="pct"/>
            <w:noWrap/>
            <w:vAlign w:val="center"/>
          </w:tcPr>
          <w:p>
            <w:pPr>
              <w:rPr>
                <w:rFonts w:hint="eastAsia"/>
                <w:sz w:val="18"/>
                <w:szCs w:val="18"/>
              </w:rPr>
            </w:pPr>
            <w:r>
              <w:rPr>
                <w:rFonts w:hint="eastAsia"/>
                <w:sz w:val="18"/>
                <w:szCs w:val="18"/>
              </w:rPr>
              <w:t>基本支出</w:t>
            </w:r>
          </w:p>
        </w:tc>
        <w:tc>
          <w:tcPr>
            <w:tcW w:w="797" w:type="pct"/>
            <w:noWrap/>
            <w:vAlign w:val="center"/>
          </w:tcPr>
          <w:p>
            <w:pPr>
              <w:rPr>
                <w:rFonts w:hint="eastAsia"/>
                <w:sz w:val="18"/>
                <w:szCs w:val="18"/>
              </w:rPr>
            </w:pPr>
            <w:r>
              <w:rPr>
                <w:rFonts w:hint="eastAsia"/>
                <w:sz w:val="18"/>
                <w:szCs w:val="18"/>
              </w:rPr>
              <w:t>22,730,663.20</w:t>
            </w:r>
          </w:p>
        </w:tc>
        <w:tc>
          <w:tcPr>
            <w:tcW w:w="1390" w:type="pct"/>
            <w:noWrap/>
            <w:vAlign w:val="center"/>
          </w:tcPr>
          <w:p>
            <w:pPr>
              <w:rPr>
                <w:rFonts w:hint="eastAsia"/>
                <w:sz w:val="18"/>
                <w:szCs w:val="18"/>
              </w:rPr>
            </w:pPr>
            <w:r>
              <w:rPr>
                <w:rFonts w:hint="eastAsia"/>
                <w:sz w:val="18"/>
                <w:szCs w:val="18"/>
              </w:rPr>
              <w:t>21,919,874.08</w:t>
            </w:r>
          </w:p>
        </w:tc>
        <w:tc>
          <w:tcPr>
            <w:tcW w:w="610" w:type="pct"/>
            <w:noWrap/>
            <w:vAlign w:val="center"/>
          </w:tcPr>
          <w:p>
            <w:pPr>
              <w:rPr>
                <w:rFonts w:hint="eastAsia"/>
                <w:sz w:val="18"/>
                <w:szCs w:val="18"/>
              </w:rPr>
            </w:pPr>
            <w:r>
              <w:rPr>
                <w:rFonts w:hint="eastAsia"/>
                <w:sz w:val="18"/>
                <w:szCs w:val="18"/>
              </w:rPr>
              <w:t>96.43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9" w:type="pct"/>
            <w:vMerge w:val="continue"/>
            <w:vAlign w:val="center"/>
          </w:tcPr>
          <w:p>
            <w:pPr>
              <w:rPr>
                <w:sz w:val="18"/>
                <w:szCs w:val="18"/>
              </w:rPr>
            </w:pPr>
          </w:p>
        </w:tc>
        <w:tc>
          <w:tcPr>
            <w:tcW w:w="992" w:type="pct"/>
            <w:gridSpan w:val="2"/>
            <w:vMerge w:val="continue"/>
            <w:vAlign w:val="center"/>
          </w:tcPr>
          <w:p>
            <w:pPr>
              <w:rPr>
                <w:sz w:val="18"/>
                <w:szCs w:val="18"/>
              </w:rPr>
            </w:pPr>
          </w:p>
        </w:tc>
        <w:tc>
          <w:tcPr>
            <w:tcW w:w="593" w:type="pct"/>
            <w:noWrap/>
            <w:vAlign w:val="center"/>
          </w:tcPr>
          <w:p>
            <w:pPr>
              <w:rPr>
                <w:rFonts w:hint="eastAsia"/>
                <w:sz w:val="18"/>
                <w:szCs w:val="18"/>
              </w:rPr>
            </w:pPr>
            <w:r>
              <w:rPr>
                <w:rFonts w:hint="eastAsia"/>
                <w:sz w:val="18"/>
                <w:szCs w:val="18"/>
              </w:rPr>
              <w:t>项目支出</w:t>
            </w:r>
          </w:p>
        </w:tc>
        <w:tc>
          <w:tcPr>
            <w:tcW w:w="797" w:type="pct"/>
            <w:vAlign w:val="center"/>
          </w:tcPr>
          <w:p>
            <w:pPr>
              <w:rPr>
                <w:rFonts w:hint="eastAsia"/>
                <w:sz w:val="18"/>
                <w:szCs w:val="18"/>
              </w:rPr>
            </w:pPr>
            <w:r>
              <w:rPr>
                <w:rFonts w:hint="eastAsia"/>
                <w:sz w:val="18"/>
                <w:szCs w:val="18"/>
              </w:rPr>
              <w:t>7,011,185.82</w:t>
            </w:r>
          </w:p>
        </w:tc>
        <w:tc>
          <w:tcPr>
            <w:tcW w:w="1390" w:type="pct"/>
            <w:noWrap/>
            <w:vAlign w:val="center"/>
          </w:tcPr>
          <w:p>
            <w:pPr>
              <w:rPr>
                <w:rFonts w:hint="eastAsia"/>
                <w:sz w:val="18"/>
                <w:szCs w:val="18"/>
              </w:rPr>
            </w:pPr>
            <w:r>
              <w:rPr>
                <w:rFonts w:hint="eastAsia"/>
                <w:sz w:val="18"/>
                <w:szCs w:val="18"/>
              </w:rPr>
              <w:t>5,871,401.52</w:t>
            </w:r>
          </w:p>
        </w:tc>
        <w:tc>
          <w:tcPr>
            <w:tcW w:w="610" w:type="pct"/>
            <w:noWrap/>
            <w:vAlign w:val="center"/>
          </w:tcPr>
          <w:p>
            <w:pPr>
              <w:rPr>
                <w:rFonts w:hint="eastAsia"/>
                <w:sz w:val="18"/>
                <w:szCs w:val="18"/>
              </w:rPr>
            </w:pPr>
            <w:r>
              <w:rPr>
                <w:rFonts w:hint="eastAsia"/>
                <w:sz w:val="18"/>
                <w:szCs w:val="18"/>
              </w:rPr>
              <w:t>83.74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000" w:type="pct"/>
            <w:gridSpan w:val="7"/>
            <w:noWrap/>
            <w:vAlign w:val="center"/>
          </w:tcPr>
          <w:p>
            <w:pPr>
              <w:rPr>
                <w:rFonts w:hint="eastAsia"/>
                <w:sz w:val="18"/>
                <w:szCs w:val="18"/>
              </w:rPr>
            </w:pPr>
            <w:r>
              <w:rPr>
                <w:rFonts w:hint="eastAsia"/>
                <w:sz w:val="18"/>
                <w:szCs w:val="18"/>
              </w:rPr>
              <w:t>分解目标自评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19" w:type="pct"/>
            <w:noWrap/>
            <w:vAlign w:val="center"/>
          </w:tcPr>
          <w:p>
            <w:pPr>
              <w:rPr>
                <w:rFonts w:hint="eastAsia"/>
                <w:sz w:val="18"/>
                <w:szCs w:val="18"/>
              </w:rPr>
            </w:pPr>
            <w:r>
              <w:rPr>
                <w:rFonts w:hint="eastAsia"/>
                <w:sz w:val="18"/>
                <w:szCs w:val="18"/>
              </w:rPr>
              <w:t>一级指标</w:t>
            </w:r>
          </w:p>
        </w:tc>
        <w:tc>
          <w:tcPr>
            <w:tcW w:w="475" w:type="pct"/>
            <w:noWrap/>
            <w:vAlign w:val="center"/>
          </w:tcPr>
          <w:p>
            <w:pPr>
              <w:rPr>
                <w:rFonts w:hint="eastAsia"/>
                <w:sz w:val="18"/>
                <w:szCs w:val="18"/>
              </w:rPr>
            </w:pPr>
            <w:r>
              <w:rPr>
                <w:rFonts w:hint="eastAsia"/>
                <w:sz w:val="18"/>
                <w:szCs w:val="18"/>
              </w:rPr>
              <w:t>二级指标</w:t>
            </w:r>
          </w:p>
        </w:tc>
        <w:tc>
          <w:tcPr>
            <w:tcW w:w="517" w:type="pct"/>
            <w:noWrap/>
            <w:vAlign w:val="center"/>
          </w:tcPr>
          <w:p>
            <w:pPr>
              <w:rPr>
                <w:rFonts w:hint="eastAsia"/>
                <w:sz w:val="18"/>
                <w:szCs w:val="18"/>
              </w:rPr>
            </w:pPr>
            <w:r>
              <w:rPr>
                <w:rFonts w:hint="eastAsia"/>
                <w:sz w:val="18"/>
                <w:szCs w:val="18"/>
              </w:rPr>
              <w:t>三级指标</w:t>
            </w:r>
          </w:p>
        </w:tc>
        <w:tc>
          <w:tcPr>
            <w:tcW w:w="2780" w:type="pct"/>
            <w:gridSpan w:val="3"/>
            <w:noWrap/>
            <w:vAlign w:val="center"/>
          </w:tcPr>
          <w:p>
            <w:pPr>
              <w:rPr>
                <w:rFonts w:hint="eastAsia"/>
                <w:sz w:val="18"/>
                <w:szCs w:val="18"/>
              </w:rPr>
            </w:pPr>
            <w:r>
              <w:rPr>
                <w:rFonts w:hint="eastAsia"/>
                <w:sz w:val="18"/>
                <w:szCs w:val="18"/>
              </w:rPr>
              <w:t>参考评分标准</w:t>
            </w:r>
          </w:p>
        </w:tc>
        <w:tc>
          <w:tcPr>
            <w:tcW w:w="610" w:type="pct"/>
            <w:noWrap/>
            <w:vAlign w:val="center"/>
          </w:tcPr>
          <w:p>
            <w:pPr>
              <w:rPr>
                <w:rFonts w:hint="eastAsia"/>
                <w:sz w:val="18"/>
                <w:szCs w:val="18"/>
              </w:rPr>
            </w:pPr>
            <w:r>
              <w:rPr>
                <w:rFonts w:hint="eastAsia"/>
                <w:sz w:val="18"/>
                <w:szCs w:val="18"/>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restart"/>
            <w:vAlign w:val="center"/>
          </w:tcPr>
          <w:p>
            <w:pPr>
              <w:rPr>
                <w:rFonts w:hint="eastAsia"/>
                <w:sz w:val="18"/>
                <w:szCs w:val="18"/>
              </w:rPr>
            </w:pPr>
            <w:r>
              <w:rPr>
                <w:rFonts w:hint="eastAsia"/>
                <w:sz w:val="18"/>
                <w:szCs w:val="18"/>
              </w:rPr>
              <w:t>部门决策(25分)</w:t>
            </w:r>
          </w:p>
        </w:tc>
        <w:tc>
          <w:tcPr>
            <w:tcW w:w="475" w:type="pct"/>
            <w:vMerge w:val="restart"/>
            <w:vAlign w:val="center"/>
          </w:tcPr>
          <w:p>
            <w:pPr>
              <w:rPr>
                <w:rFonts w:hint="eastAsia"/>
                <w:sz w:val="18"/>
                <w:szCs w:val="18"/>
              </w:rPr>
            </w:pPr>
            <w:r>
              <w:rPr>
                <w:rFonts w:hint="eastAsia"/>
                <w:sz w:val="18"/>
                <w:szCs w:val="18"/>
              </w:rPr>
              <w:t>预算编制(10分)</w:t>
            </w:r>
          </w:p>
        </w:tc>
        <w:tc>
          <w:tcPr>
            <w:tcW w:w="517" w:type="pct"/>
            <w:vAlign w:val="center"/>
          </w:tcPr>
          <w:p>
            <w:pPr>
              <w:rPr>
                <w:rFonts w:hint="eastAsia"/>
                <w:sz w:val="18"/>
                <w:szCs w:val="18"/>
              </w:rPr>
            </w:pPr>
            <w:r>
              <w:rPr>
                <w:rFonts w:hint="eastAsia"/>
                <w:sz w:val="18"/>
                <w:szCs w:val="18"/>
              </w:rPr>
              <w:t>预算编制合理性(5分)</w:t>
            </w:r>
          </w:p>
        </w:tc>
        <w:tc>
          <w:tcPr>
            <w:tcW w:w="2780" w:type="pct"/>
            <w:gridSpan w:val="3"/>
            <w:vAlign w:val="center"/>
          </w:tcPr>
          <w:p>
            <w:pPr>
              <w:rPr>
                <w:rFonts w:hint="eastAsia"/>
                <w:sz w:val="18"/>
                <w:szCs w:val="18"/>
              </w:rPr>
            </w:pPr>
            <w:r>
              <w:rPr>
                <w:rFonts w:hint="eastAsia"/>
                <w:sz w:val="18"/>
                <w:szCs w:val="18"/>
              </w:rPr>
              <w:t>1.部门预算编制、分配符合本部门职责、符合区委区政府方针政策和工作要求（1分）；</w:t>
            </w:r>
            <w:r>
              <w:rPr>
                <w:rFonts w:hint="eastAsia"/>
                <w:sz w:val="18"/>
                <w:szCs w:val="18"/>
              </w:rPr>
              <w:br w:type="textWrapping"/>
            </w:r>
            <w:r>
              <w:rPr>
                <w:rFonts w:hint="eastAsia"/>
                <w:sz w:val="18"/>
                <w:szCs w:val="18"/>
              </w:rPr>
              <w:t xml:space="preserve">2.部门预算资金能根据年度工作重点，在不同项目、不同用途之间合理分配（1分）；                                               </w:t>
            </w:r>
            <w:r>
              <w:rPr>
                <w:rFonts w:hint="eastAsia"/>
                <w:sz w:val="18"/>
                <w:szCs w:val="18"/>
              </w:rPr>
              <w:br w:type="textWrapping"/>
            </w:r>
            <w:r>
              <w:rPr>
                <w:rFonts w:hint="eastAsia"/>
                <w:sz w:val="18"/>
                <w:szCs w:val="18"/>
              </w:rPr>
              <w:t xml:space="preserve">3.专项资金编制细化程度合理，未出现因年中调剂导致部门预决算差异过大问题（1分）；                                                                                </w:t>
            </w:r>
            <w:r>
              <w:rPr>
                <w:rFonts w:hint="eastAsia"/>
                <w:sz w:val="18"/>
                <w:szCs w:val="18"/>
              </w:rPr>
              <w:br w:type="textWrapping"/>
            </w:r>
            <w:r>
              <w:rPr>
                <w:rFonts w:hint="eastAsia"/>
                <w:sz w:val="18"/>
                <w:szCs w:val="18"/>
              </w:rPr>
              <w:t>4.功能分类和经济分类编制准确，年度中间无大量调剂，未发生项目之间频繁调剂（1分）；</w:t>
            </w:r>
            <w:r>
              <w:rPr>
                <w:rFonts w:hint="eastAsia"/>
                <w:sz w:val="18"/>
                <w:szCs w:val="18"/>
              </w:rPr>
              <w:br w:type="textWrapping"/>
            </w:r>
            <w:r>
              <w:rPr>
                <w:rFonts w:hint="eastAsia"/>
                <w:sz w:val="18"/>
                <w:szCs w:val="18"/>
              </w:rPr>
              <w:t>5.部门预算分配不固化，能根据实际情况合理调整，不存在项目支出进度慢、完成率低、绩效较差，但连年持续安排预算等不合理的情况（1分）。</w:t>
            </w:r>
          </w:p>
        </w:tc>
        <w:tc>
          <w:tcPr>
            <w:tcW w:w="610" w:type="pct"/>
            <w:vAlign w:val="center"/>
          </w:tcPr>
          <w:p>
            <w:pPr>
              <w:rPr>
                <w:rFonts w:hint="eastAsia"/>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预算编制规范性(5分)</w:t>
            </w:r>
          </w:p>
        </w:tc>
        <w:tc>
          <w:tcPr>
            <w:tcW w:w="2780" w:type="pct"/>
            <w:gridSpan w:val="3"/>
            <w:vAlign w:val="center"/>
          </w:tcPr>
          <w:p>
            <w:pPr>
              <w:rPr>
                <w:rFonts w:hint="eastAsia"/>
                <w:sz w:val="18"/>
                <w:szCs w:val="18"/>
              </w:rPr>
            </w:pPr>
            <w:r>
              <w:rPr>
                <w:rFonts w:hint="eastAsia"/>
                <w:sz w:val="18"/>
                <w:szCs w:val="18"/>
              </w:rPr>
              <w:t>1.部门（单位）预算编制符合财政部门当年度关于预算编制的各项原则和要求，符合专项资金预算编制、项目库管理、新增项目事前绩效评估等要求（5分）；</w:t>
            </w:r>
            <w:r>
              <w:rPr>
                <w:rFonts w:hint="eastAsia"/>
                <w:sz w:val="18"/>
                <w:szCs w:val="18"/>
              </w:rPr>
              <w:br w:type="textWrapping"/>
            </w:r>
            <w:r>
              <w:rPr>
                <w:rFonts w:hint="eastAsia"/>
                <w:sz w:val="18"/>
                <w:szCs w:val="18"/>
              </w:rPr>
              <w:t>2.发现一项不符合的扣1分，扣完为止。</w:t>
            </w:r>
            <w:r>
              <w:rPr>
                <w:rFonts w:hint="eastAsia"/>
                <w:sz w:val="18"/>
                <w:szCs w:val="18"/>
              </w:rPr>
              <w:br w:type="textWrapping"/>
            </w:r>
            <w:r>
              <w:rPr>
                <w:rFonts w:hint="eastAsia"/>
                <w:sz w:val="18"/>
                <w:szCs w:val="18"/>
              </w:rPr>
              <w:t>本指标需对照相应年度由财政部门印发的部门预算编制工作方案、通知和有关制度文件，根据实际情况评分。</w:t>
            </w:r>
          </w:p>
        </w:tc>
        <w:tc>
          <w:tcPr>
            <w:tcW w:w="610" w:type="pct"/>
            <w:vAlign w:val="center"/>
          </w:tcPr>
          <w:p>
            <w:pPr>
              <w:rPr>
                <w:rFonts w:hint="eastAsia"/>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restart"/>
            <w:vAlign w:val="center"/>
          </w:tcPr>
          <w:p>
            <w:pPr>
              <w:rPr>
                <w:rFonts w:hint="eastAsia"/>
                <w:sz w:val="18"/>
                <w:szCs w:val="18"/>
              </w:rPr>
            </w:pPr>
            <w:r>
              <w:rPr>
                <w:rFonts w:hint="eastAsia"/>
                <w:sz w:val="18"/>
                <w:szCs w:val="18"/>
              </w:rPr>
              <w:t>目标设置(15分)</w:t>
            </w:r>
          </w:p>
        </w:tc>
        <w:tc>
          <w:tcPr>
            <w:tcW w:w="517" w:type="pct"/>
            <w:vAlign w:val="center"/>
          </w:tcPr>
          <w:p>
            <w:pPr>
              <w:rPr>
                <w:rFonts w:hint="eastAsia"/>
                <w:sz w:val="18"/>
                <w:szCs w:val="18"/>
              </w:rPr>
            </w:pPr>
            <w:r>
              <w:rPr>
                <w:rFonts w:hint="eastAsia"/>
                <w:sz w:val="18"/>
                <w:szCs w:val="18"/>
              </w:rPr>
              <w:t>绩效目标完整性(5分)</w:t>
            </w:r>
          </w:p>
        </w:tc>
        <w:tc>
          <w:tcPr>
            <w:tcW w:w="2780" w:type="pct"/>
            <w:gridSpan w:val="3"/>
            <w:vAlign w:val="center"/>
          </w:tcPr>
          <w:p>
            <w:pPr>
              <w:rPr>
                <w:rFonts w:hint="eastAsia"/>
                <w:sz w:val="18"/>
                <w:szCs w:val="18"/>
              </w:rPr>
            </w:pPr>
            <w:r>
              <w:rPr>
                <w:rFonts w:hint="eastAsia"/>
                <w:sz w:val="18"/>
                <w:szCs w:val="18"/>
              </w:rPr>
              <w:t>1.部门（单位）按要求编报部门整体绩效目标（1分）；</w:t>
            </w:r>
            <w:r>
              <w:rPr>
                <w:rFonts w:hint="eastAsia"/>
                <w:sz w:val="18"/>
                <w:szCs w:val="18"/>
              </w:rPr>
              <w:br w:type="textWrapping"/>
            </w:r>
            <w:r>
              <w:rPr>
                <w:rFonts w:hint="eastAsia"/>
                <w:sz w:val="18"/>
                <w:szCs w:val="18"/>
              </w:rPr>
              <w:t>2.部门（单位）按要求编制项目绩效目标（1分）；</w:t>
            </w:r>
            <w:r>
              <w:rPr>
                <w:rFonts w:hint="eastAsia"/>
                <w:sz w:val="18"/>
                <w:szCs w:val="18"/>
              </w:rPr>
              <w:br w:type="textWrapping"/>
            </w:r>
            <w:r>
              <w:rPr>
                <w:rFonts w:hint="eastAsia"/>
                <w:sz w:val="18"/>
                <w:szCs w:val="18"/>
              </w:rPr>
              <w:t>3.绩效目标申报内容完整，缺失一项扣1分，扣完为止（3分）。</w:t>
            </w:r>
          </w:p>
        </w:tc>
        <w:tc>
          <w:tcPr>
            <w:tcW w:w="610" w:type="pct"/>
            <w:vAlign w:val="center"/>
          </w:tcPr>
          <w:p>
            <w:pPr>
              <w:rPr>
                <w:rFonts w:hint="eastAsia"/>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绩效目标合理性(5分)</w:t>
            </w:r>
          </w:p>
        </w:tc>
        <w:tc>
          <w:tcPr>
            <w:tcW w:w="2780" w:type="pct"/>
            <w:gridSpan w:val="3"/>
            <w:vAlign w:val="center"/>
          </w:tcPr>
          <w:p>
            <w:pPr>
              <w:rPr>
                <w:rFonts w:hint="eastAsia"/>
                <w:sz w:val="18"/>
                <w:szCs w:val="18"/>
              </w:rPr>
            </w:pPr>
            <w:r>
              <w:rPr>
                <w:rFonts w:hint="eastAsia"/>
                <w:sz w:val="18"/>
                <w:szCs w:val="18"/>
              </w:rPr>
              <w:t>1.是否符合国家法律法规、国民经济和社会发展总体规划（2分）；</w:t>
            </w:r>
            <w:r>
              <w:rPr>
                <w:rFonts w:hint="eastAsia"/>
                <w:sz w:val="18"/>
                <w:szCs w:val="18"/>
              </w:rPr>
              <w:br w:type="textWrapping"/>
            </w:r>
            <w:r>
              <w:rPr>
                <w:rFonts w:hint="eastAsia"/>
                <w:sz w:val="18"/>
                <w:szCs w:val="18"/>
              </w:rPr>
              <w:t>2.是否符合部门“三定”方案确定的职责（2分）；</w:t>
            </w:r>
            <w:r>
              <w:rPr>
                <w:rFonts w:hint="eastAsia"/>
                <w:sz w:val="18"/>
                <w:szCs w:val="18"/>
              </w:rPr>
              <w:br w:type="textWrapping"/>
            </w:r>
            <w:r>
              <w:rPr>
                <w:rFonts w:hint="eastAsia"/>
                <w:sz w:val="18"/>
                <w:szCs w:val="18"/>
              </w:rPr>
              <w:t>3.是否符合区委、区政府或本部门制定的中长期实施规划（1分）。</w:t>
            </w:r>
          </w:p>
        </w:tc>
        <w:tc>
          <w:tcPr>
            <w:tcW w:w="610" w:type="pct"/>
            <w:vAlign w:val="center"/>
          </w:tcPr>
          <w:p>
            <w:pPr>
              <w:rPr>
                <w:rFonts w:hint="eastAsia"/>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绩效指标明确性(5分)</w:t>
            </w:r>
          </w:p>
        </w:tc>
        <w:tc>
          <w:tcPr>
            <w:tcW w:w="2780" w:type="pct"/>
            <w:gridSpan w:val="3"/>
            <w:vAlign w:val="center"/>
          </w:tcPr>
          <w:p>
            <w:pPr>
              <w:rPr>
                <w:rFonts w:hint="eastAsia"/>
                <w:sz w:val="18"/>
                <w:szCs w:val="18"/>
              </w:rPr>
            </w:pPr>
            <w:r>
              <w:rPr>
                <w:rFonts w:hint="eastAsia"/>
                <w:sz w:val="18"/>
                <w:szCs w:val="18"/>
              </w:rPr>
              <w:t>1.绩效指标将部门整体绩效目标细化分解为具体工作任务，与部门年度任务数或计划数相对应（2分）；</w:t>
            </w:r>
            <w:r>
              <w:rPr>
                <w:rFonts w:hint="eastAsia"/>
                <w:sz w:val="18"/>
                <w:szCs w:val="18"/>
              </w:rPr>
              <w:br w:type="textWrapping"/>
            </w:r>
            <w:r>
              <w:rPr>
                <w:rFonts w:hint="eastAsia"/>
                <w:sz w:val="18"/>
                <w:szCs w:val="18"/>
              </w:rPr>
              <w:t>2.绩效指标中包含能够明确体现部门（单位）履职效果的社会、经济、生态效益指标（2分）；</w:t>
            </w:r>
            <w:r>
              <w:rPr>
                <w:rFonts w:hint="eastAsia"/>
                <w:sz w:val="18"/>
                <w:szCs w:val="18"/>
              </w:rPr>
              <w:br w:type="textWrapping"/>
            </w:r>
            <w:r>
              <w:rPr>
                <w:rFonts w:hint="eastAsia"/>
                <w:sz w:val="18"/>
                <w:szCs w:val="18"/>
              </w:rPr>
              <w:t>3.绩效指标具有清晰、可衡量的指标值（1分）；</w:t>
            </w:r>
            <w:r>
              <w:rPr>
                <w:rFonts w:hint="eastAsia"/>
                <w:sz w:val="18"/>
                <w:szCs w:val="18"/>
              </w:rPr>
              <w:br w:type="textWrapping"/>
            </w:r>
            <w:r>
              <w:rPr>
                <w:rFonts w:hint="eastAsia"/>
                <w:sz w:val="18"/>
                <w:szCs w:val="18"/>
              </w:rPr>
              <w:t xml:space="preserve">4.绩效指标包含可量化的指标（1分）；  </w:t>
            </w:r>
            <w:r>
              <w:rPr>
                <w:rFonts w:hint="eastAsia"/>
                <w:sz w:val="18"/>
                <w:szCs w:val="18"/>
              </w:rPr>
              <w:br w:type="textWrapping"/>
            </w:r>
            <w:r>
              <w:rPr>
                <w:rFonts w:hint="eastAsia"/>
                <w:sz w:val="18"/>
                <w:szCs w:val="18"/>
              </w:rPr>
              <w:t>5.绩效指标目标值测算依据充分、符合客观事实（1分）。</w:t>
            </w:r>
          </w:p>
        </w:tc>
        <w:tc>
          <w:tcPr>
            <w:tcW w:w="610" w:type="pct"/>
            <w:vAlign w:val="center"/>
          </w:tcPr>
          <w:p>
            <w:pPr>
              <w:rPr>
                <w:rFonts w:hint="eastAsia"/>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restart"/>
            <w:vAlign w:val="center"/>
          </w:tcPr>
          <w:p>
            <w:pPr>
              <w:rPr>
                <w:rFonts w:hint="eastAsia"/>
                <w:sz w:val="18"/>
                <w:szCs w:val="18"/>
              </w:rPr>
            </w:pPr>
            <w:r>
              <w:rPr>
                <w:rFonts w:hint="eastAsia"/>
                <w:sz w:val="18"/>
                <w:szCs w:val="18"/>
              </w:rPr>
              <w:t>部门管理(20分)</w:t>
            </w:r>
          </w:p>
        </w:tc>
        <w:tc>
          <w:tcPr>
            <w:tcW w:w="475" w:type="pct"/>
            <w:vMerge w:val="restart"/>
            <w:vAlign w:val="center"/>
          </w:tcPr>
          <w:p>
            <w:pPr>
              <w:rPr>
                <w:rFonts w:hint="eastAsia"/>
                <w:sz w:val="18"/>
                <w:szCs w:val="18"/>
              </w:rPr>
            </w:pPr>
            <w:r>
              <w:rPr>
                <w:rFonts w:hint="eastAsia"/>
                <w:sz w:val="18"/>
                <w:szCs w:val="18"/>
              </w:rPr>
              <w:t>资金管理(8分)</w:t>
            </w:r>
          </w:p>
        </w:tc>
        <w:tc>
          <w:tcPr>
            <w:tcW w:w="517" w:type="pct"/>
            <w:vAlign w:val="center"/>
          </w:tcPr>
          <w:p>
            <w:pPr>
              <w:rPr>
                <w:rFonts w:hint="eastAsia"/>
                <w:sz w:val="18"/>
                <w:szCs w:val="18"/>
              </w:rPr>
            </w:pPr>
            <w:r>
              <w:rPr>
                <w:rFonts w:hint="eastAsia"/>
                <w:sz w:val="18"/>
                <w:szCs w:val="18"/>
              </w:rPr>
              <w:t>政府采购执行情况(2分)</w:t>
            </w:r>
          </w:p>
        </w:tc>
        <w:tc>
          <w:tcPr>
            <w:tcW w:w="2780" w:type="pct"/>
            <w:gridSpan w:val="3"/>
            <w:vAlign w:val="center"/>
          </w:tcPr>
          <w:p>
            <w:pPr>
              <w:rPr>
                <w:rFonts w:hint="eastAsia"/>
                <w:sz w:val="18"/>
                <w:szCs w:val="18"/>
              </w:rPr>
            </w:pPr>
            <w:r>
              <w:rPr>
                <w:rFonts w:hint="eastAsia"/>
                <w:sz w:val="18"/>
                <w:szCs w:val="18"/>
              </w:rPr>
              <w:t>1.政府采购执行率得分=政府采购执行率X1分</w:t>
            </w:r>
            <w:r>
              <w:rPr>
                <w:rFonts w:hint="eastAsia"/>
                <w:sz w:val="18"/>
                <w:szCs w:val="18"/>
              </w:rPr>
              <w:br w:type="textWrapping"/>
            </w:r>
            <w:r>
              <w:rPr>
                <w:rFonts w:hint="eastAsia"/>
                <w:sz w:val="18"/>
                <w:szCs w:val="18"/>
              </w:rPr>
              <w:t>政府采购执行率=（实际采购金额合计数/采购计划金额合计数）X100%</w:t>
            </w:r>
            <w:r>
              <w:rPr>
                <w:rFonts w:hint="eastAsia"/>
                <w:sz w:val="18"/>
                <w:szCs w:val="18"/>
              </w:rPr>
              <w:br w:type="textWrapping"/>
            </w:r>
            <w:r>
              <w:rPr>
                <w:rFonts w:hint="eastAsia"/>
                <w:sz w:val="18"/>
                <w:szCs w:val="18"/>
              </w:rPr>
              <w:t>如实际采购金额大于采购计划金额，本项得0分。</w:t>
            </w:r>
            <w:r>
              <w:rPr>
                <w:rFonts w:hint="eastAsia"/>
                <w:sz w:val="18"/>
                <w:szCs w:val="18"/>
              </w:rPr>
              <w:br w:type="textWrapping"/>
            </w:r>
            <w:r>
              <w:rPr>
                <w:rFonts w:hint="eastAsia"/>
                <w:sz w:val="18"/>
                <w:szCs w:val="18"/>
              </w:rPr>
              <w:t>政府采购预算是指采购机关根据事业发展计划和行政任务编制的、并经过规定程序批准的年度政府采购计划。</w:t>
            </w:r>
            <w:r>
              <w:rPr>
                <w:rFonts w:hint="eastAsia"/>
                <w:sz w:val="18"/>
                <w:szCs w:val="18"/>
              </w:rPr>
              <w:br w:type="textWrapping"/>
            </w:r>
            <w:r>
              <w:rPr>
                <w:rFonts w:hint="eastAsia"/>
                <w:sz w:val="18"/>
                <w:szCs w:val="18"/>
              </w:rPr>
              <w:t>2.政府采购政策功能的执行和落实情况（1分），落实不到位的酌情扣分。</w:t>
            </w:r>
          </w:p>
        </w:tc>
        <w:tc>
          <w:tcPr>
            <w:tcW w:w="610" w:type="pct"/>
            <w:vAlign w:val="center"/>
          </w:tcPr>
          <w:p>
            <w:pPr>
              <w:rPr>
                <w:rFonts w:hint="eastAsia"/>
                <w:sz w:val="18"/>
                <w:szCs w:val="18"/>
              </w:rPr>
            </w:pPr>
            <w:r>
              <w:rPr>
                <w:rFonts w:hint="eastAsia"/>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财务合规性(3分)</w:t>
            </w:r>
          </w:p>
        </w:tc>
        <w:tc>
          <w:tcPr>
            <w:tcW w:w="2780" w:type="pct"/>
            <w:gridSpan w:val="3"/>
            <w:vAlign w:val="center"/>
          </w:tcPr>
          <w:p>
            <w:pPr>
              <w:rPr>
                <w:rFonts w:hint="eastAsia"/>
                <w:sz w:val="18"/>
                <w:szCs w:val="18"/>
              </w:rPr>
            </w:pPr>
            <w:r>
              <w:rPr>
                <w:rFonts w:hint="eastAsia"/>
                <w:sz w:val="18"/>
                <w:szCs w:val="18"/>
              </w:rPr>
              <w:t>1.资金支出规范性（1分）。资金管理、费用标准、支付符合有关制度规定，按事项完成进度支付资金的，得1分，否则酌情扣分。</w:t>
            </w:r>
            <w:r>
              <w:rPr>
                <w:rFonts w:hint="eastAsia"/>
                <w:sz w:val="18"/>
                <w:szCs w:val="18"/>
              </w:rPr>
              <w:br w:type="textWrapping"/>
            </w:r>
            <w:r>
              <w:rPr>
                <w:rFonts w:hint="eastAsia"/>
                <w:sz w:val="18"/>
                <w:szCs w:val="18"/>
              </w:rPr>
              <w:t>2.资金调整、调剂规范性（1分）。调整、调剂资金累计在本单位部门预算总规模10%的，得1分；超出10%的，超出一个百分点扣0.1分，直至1分扣完为止。</w:t>
            </w:r>
            <w:r>
              <w:rPr>
                <w:rFonts w:hint="eastAsia"/>
                <w:sz w:val="18"/>
                <w:szCs w:val="18"/>
              </w:rPr>
              <w:br w:type="textWrapping"/>
            </w:r>
            <w:r>
              <w:rPr>
                <w:rFonts w:hint="eastAsia"/>
                <w:sz w:val="18"/>
                <w:szCs w:val="18"/>
              </w:rPr>
              <w:t>3.会计核算规范性（1分）。规范执行会计核算制度得1分，未按规定设专账核算、支出凭证不符合规定或其他核算不规范，酌情扣分。</w:t>
            </w:r>
            <w:r>
              <w:rPr>
                <w:rFonts w:hint="eastAsia"/>
                <w:sz w:val="18"/>
                <w:szCs w:val="18"/>
              </w:rPr>
              <w:br w:type="textWrapping"/>
            </w:r>
            <w:r>
              <w:rPr>
                <w:rFonts w:hint="eastAsia"/>
                <w:sz w:val="18"/>
                <w:szCs w:val="18"/>
              </w:rPr>
              <w:t>4.发生超范围、超标准支出，虚列支出，截留、挤占、挪用资金的，以及其他不符合制度规定支出，本项指标得0分。</w:t>
            </w:r>
          </w:p>
        </w:tc>
        <w:tc>
          <w:tcPr>
            <w:tcW w:w="610" w:type="pct"/>
            <w:vAlign w:val="center"/>
          </w:tcPr>
          <w:p>
            <w:pPr>
              <w:rPr>
                <w:rFonts w:hint="eastAsia"/>
                <w:sz w:val="18"/>
                <w:szCs w:val="18"/>
              </w:rPr>
            </w:pPr>
            <w:r>
              <w:rPr>
                <w:rFonts w:hint="eastAsia"/>
                <w:sz w:val="18"/>
                <w:szCs w:val="18"/>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预决算信息公开(3分)</w:t>
            </w:r>
          </w:p>
        </w:tc>
        <w:tc>
          <w:tcPr>
            <w:tcW w:w="2780" w:type="pct"/>
            <w:gridSpan w:val="3"/>
            <w:vAlign w:val="center"/>
          </w:tcPr>
          <w:p>
            <w:pPr>
              <w:rPr>
                <w:rFonts w:hint="eastAsia"/>
                <w:sz w:val="18"/>
                <w:szCs w:val="18"/>
              </w:rPr>
            </w:pPr>
            <w:r>
              <w:rPr>
                <w:rFonts w:hint="eastAsia"/>
                <w:sz w:val="18"/>
                <w:szCs w:val="18"/>
              </w:rPr>
              <w:t>1.部门预算公开（1.5分），按以下标准分档计分；</w:t>
            </w:r>
            <w:r>
              <w:rPr>
                <w:rFonts w:hint="eastAsia"/>
                <w:sz w:val="18"/>
                <w:szCs w:val="18"/>
              </w:rPr>
              <w:br w:type="textWrapping"/>
            </w:r>
            <w:r>
              <w:rPr>
                <w:rFonts w:hint="eastAsia"/>
                <w:sz w:val="18"/>
                <w:szCs w:val="18"/>
              </w:rPr>
              <w:t>（1）按规定内容、时限、范围等各项要求进行公开的，得1.5分。</w:t>
            </w:r>
            <w:r>
              <w:rPr>
                <w:rFonts w:hint="eastAsia"/>
                <w:sz w:val="18"/>
                <w:szCs w:val="18"/>
              </w:rPr>
              <w:br w:type="textWrapping"/>
            </w:r>
            <w:r>
              <w:rPr>
                <w:rFonts w:hint="eastAsia"/>
                <w:sz w:val="18"/>
                <w:szCs w:val="18"/>
              </w:rPr>
              <w:t>（2）进行了公开，存在不符合时限、内容、范围等要求的，得1分。</w:t>
            </w:r>
            <w:r>
              <w:rPr>
                <w:rFonts w:hint="eastAsia"/>
                <w:sz w:val="18"/>
                <w:szCs w:val="18"/>
              </w:rPr>
              <w:br w:type="textWrapping"/>
            </w:r>
            <w:r>
              <w:rPr>
                <w:rFonts w:hint="eastAsia"/>
                <w:sz w:val="18"/>
                <w:szCs w:val="18"/>
              </w:rPr>
              <w:t>（3）没有进行公开的，得0分。</w:t>
            </w:r>
            <w:r>
              <w:rPr>
                <w:rFonts w:hint="eastAsia"/>
                <w:sz w:val="18"/>
                <w:szCs w:val="18"/>
              </w:rPr>
              <w:br w:type="textWrapping"/>
            </w:r>
            <w:r>
              <w:rPr>
                <w:rFonts w:hint="eastAsia"/>
                <w:sz w:val="18"/>
                <w:szCs w:val="18"/>
              </w:rPr>
              <w:t>2.部门决算公开（1.5分），按一下标准分档计分；</w:t>
            </w:r>
            <w:r>
              <w:rPr>
                <w:rFonts w:hint="eastAsia"/>
                <w:sz w:val="18"/>
                <w:szCs w:val="18"/>
              </w:rPr>
              <w:br w:type="textWrapping"/>
            </w:r>
            <w:r>
              <w:rPr>
                <w:rFonts w:hint="eastAsia"/>
                <w:sz w:val="18"/>
                <w:szCs w:val="18"/>
              </w:rPr>
              <w:t>（1）按规定内容、时限、范围等各项要求进行公开的，得1.5分。</w:t>
            </w:r>
            <w:r>
              <w:rPr>
                <w:rFonts w:hint="eastAsia"/>
                <w:sz w:val="18"/>
                <w:szCs w:val="18"/>
              </w:rPr>
              <w:br w:type="textWrapping"/>
            </w:r>
            <w:r>
              <w:rPr>
                <w:rFonts w:hint="eastAsia"/>
                <w:sz w:val="18"/>
                <w:szCs w:val="18"/>
              </w:rPr>
              <w:t>（2）进行了公开，存在不符合时限、内容、范围等要求的，得1分。</w:t>
            </w:r>
            <w:r>
              <w:rPr>
                <w:rFonts w:hint="eastAsia"/>
                <w:sz w:val="18"/>
                <w:szCs w:val="18"/>
              </w:rPr>
              <w:br w:type="textWrapping"/>
            </w:r>
            <w:r>
              <w:rPr>
                <w:rFonts w:hint="eastAsia"/>
                <w:sz w:val="18"/>
                <w:szCs w:val="18"/>
              </w:rPr>
              <w:t>（3）没有进行公开的，得0分。</w:t>
            </w:r>
            <w:r>
              <w:rPr>
                <w:rFonts w:hint="eastAsia"/>
                <w:sz w:val="18"/>
                <w:szCs w:val="18"/>
              </w:rPr>
              <w:br w:type="textWrapping"/>
            </w:r>
            <w:r>
              <w:rPr>
                <w:rFonts w:hint="eastAsia"/>
                <w:sz w:val="18"/>
                <w:szCs w:val="18"/>
              </w:rPr>
              <w:t>3.涉密部门（单位）按规定不需要公开相关预决算信息的直接得分。</w:t>
            </w:r>
          </w:p>
        </w:tc>
        <w:tc>
          <w:tcPr>
            <w:tcW w:w="610" w:type="pct"/>
            <w:vAlign w:val="center"/>
          </w:tcPr>
          <w:p>
            <w:pPr>
              <w:rPr>
                <w:rFonts w:hint="eastAsia"/>
                <w:sz w:val="18"/>
                <w:szCs w:val="18"/>
              </w:rPr>
            </w:pPr>
            <w:r>
              <w:rPr>
                <w:rFonts w:hint="eastAsia"/>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restart"/>
            <w:vAlign w:val="center"/>
          </w:tcPr>
          <w:p>
            <w:pPr>
              <w:rPr>
                <w:rFonts w:hint="eastAsia"/>
                <w:sz w:val="18"/>
                <w:szCs w:val="18"/>
              </w:rPr>
            </w:pPr>
            <w:r>
              <w:rPr>
                <w:rFonts w:hint="eastAsia"/>
                <w:sz w:val="18"/>
                <w:szCs w:val="18"/>
              </w:rPr>
              <w:t>项目管理(4分)</w:t>
            </w:r>
          </w:p>
        </w:tc>
        <w:tc>
          <w:tcPr>
            <w:tcW w:w="517" w:type="pct"/>
            <w:vAlign w:val="center"/>
          </w:tcPr>
          <w:p>
            <w:pPr>
              <w:rPr>
                <w:rFonts w:hint="eastAsia"/>
                <w:sz w:val="18"/>
                <w:szCs w:val="18"/>
              </w:rPr>
            </w:pPr>
            <w:r>
              <w:rPr>
                <w:rFonts w:hint="eastAsia"/>
                <w:sz w:val="18"/>
                <w:szCs w:val="18"/>
              </w:rPr>
              <w:t>项目实施程序(2分)</w:t>
            </w:r>
          </w:p>
        </w:tc>
        <w:tc>
          <w:tcPr>
            <w:tcW w:w="2780" w:type="pct"/>
            <w:gridSpan w:val="3"/>
            <w:vAlign w:val="center"/>
          </w:tcPr>
          <w:p>
            <w:pPr>
              <w:rPr>
                <w:rFonts w:hint="eastAsia"/>
                <w:sz w:val="18"/>
                <w:szCs w:val="18"/>
              </w:rPr>
            </w:pPr>
            <w:r>
              <w:rPr>
                <w:rFonts w:hint="eastAsia"/>
                <w:sz w:val="18"/>
                <w:szCs w:val="18"/>
              </w:rPr>
              <w:t>1.项目的设立、调整按规定履行报批程序（1分）；</w:t>
            </w:r>
            <w:r>
              <w:rPr>
                <w:rFonts w:hint="eastAsia"/>
                <w:sz w:val="18"/>
                <w:szCs w:val="18"/>
              </w:rPr>
              <w:br w:type="textWrapping"/>
            </w:r>
            <w:r>
              <w:rPr>
                <w:rFonts w:hint="eastAsia"/>
                <w:sz w:val="18"/>
                <w:szCs w:val="18"/>
              </w:rPr>
              <w:t>2.项目招投标、建设、验收以及方案实施均严格执行相关制度规定（1分）。</w:t>
            </w:r>
          </w:p>
        </w:tc>
        <w:tc>
          <w:tcPr>
            <w:tcW w:w="610" w:type="pct"/>
            <w:vAlign w:val="center"/>
          </w:tcPr>
          <w:p>
            <w:pPr>
              <w:rPr>
                <w:rFonts w:hint="eastAsia"/>
                <w:sz w:val="18"/>
                <w:szCs w:val="18"/>
              </w:rPr>
            </w:pPr>
            <w:r>
              <w:rPr>
                <w:rFonts w:hint="eastAsia"/>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项目监管(2分)</w:t>
            </w:r>
          </w:p>
        </w:tc>
        <w:tc>
          <w:tcPr>
            <w:tcW w:w="2780" w:type="pct"/>
            <w:gridSpan w:val="3"/>
            <w:vAlign w:val="center"/>
          </w:tcPr>
          <w:p>
            <w:pPr>
              <w:rPr>
                <w:rFonts w:hint="eastAsia"/>
                <w:sz w:val="18"/>
                <w:szCs w:val="18"/>
              </w:rPr>
            </w:pPr>
            <w:r>
              <w:rPr>
                <w:rFonts w:hint="eastAsia"/>
                <w:sz w:val="18"/>
                <w:szCs w:val="18"/>
              </w:rPr>
              <w:t>1.资金使用单位、基层资金管理单位建立有效资金管理和绩效运行监控机制，且执行情况良好（1分）；</w:t>
            </w:r>
            <w:r>
              <w:rPr>
                <w:rFonts w:hint="eastAsia"/>
                <w:sz w:val="18"/>
                <w:szCs w:val="18"/>
              </w:rPr>
              <w:br w:type="textWrapping"/>
            </w:r>
            <w:r>
              <w:rPr>
                <w:rFonts w:hint="eastAsia"/>
                <w:sz w:val="18"/>
                <w:szCs w:val="18"/>
              </w:rPr>
              <w:t>2.各主管部门按规定对主管的财政资金（含专项资金和专项经费）开展有效的检查、监控、督促整改（1分），如无法提供开展检查监督相关证明材料，或被评价年度部门主管的专项资金绩效评价结果为差的，得0分。</w:t>
            </w:r>
          </w:p>
        </w:tc>
        <w:tc>
          <w:tcPr>
            <w:tcW w:w="610" w:type="pct"/>
            <w:vAlign w:val="center"/>
          </w:tcPr>
          <w:p>
            <w:pPr>
              <w:rPr>
                <w:rFonts w:hint="eastAsia"/>
                <w:sz w:val="18"/>
                <w:szCs w:val="18"/>
              </w:rPr>
            </w:pPr>
            <w:r>
              <w:rPr>
                <w:rFonts w:hint="eastAsia"/>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restart"/>
            <w:vAlign w:val="center"/>
          </w:tcPr>
          <w:p>
            <w:pPr>
              <w:rPr>
                <w:rFonts w:hint="eastAsia"/>
                <w:sz w:val="18"/>
                <w:szCs w:val="18"/>
              </w:rPr>
            </w:pPr>
            <w:r>
              <w:rPr>
                <w:rFonts w:hint="eastAsia"/>
                <w:sz w:val="18"/>
                <w:szCs w:val="18"/>
              </w:rPr>
              <w:t>资产管理(3分)</w:t>
            </w:r>
          </w:p>
        </w:tc>
        <w:tc>
          <w:tcPr>
            <w:tcW w:w="517" w:type="pct"/>
            <w:vAlign w:val="center"/>
          </w:tcPr>
          <w:p>
            <w:pPr>
              <w:rPr>
                <w:rFonts w:hint="eastAsia"/>
                <w:sz w:val="18"/>
                <w:szCs w:val="18"/>
              </w:rPr>
            </w:pPr>
            <w:r>
              <w:rPr>
                <w:rFonts w:hint="eastAsia"/>
                <w:sz w:val="18"/>
                <w:szCs w:val="18"/>
              </w:rPr>
              <w:t>资产管理安全性(2分)</w:t>
            </w:r>
          </w:p>
        </w:tc>
        <w:tc>
          <w:tcPr>
            <w:tcW w:w="2780" w:type="pct"/>
            <w:gridSpan w:val="3"/>
            <w:vAlign w:val="center"/>
          </w:tcPr>
          <w:p>
            <w:pPr>
              <w:rPr>
                <w:rFonts w:hint="eastAsia"/>
                <w:sz w:val="18"/>
                <w:szCs w:val="18"/>
              </w:rPr>
            </w:pPr>
            <w:r>
              <w:rPr>
                <w:rFonts w:hint="eastAsia"/>
                <w:sz w:val="18"/>
                <w:szCs w:val="18"/>
              </w:rPr>
              <w:t>1.资产配置合理、保存完整，账实相符（1分）；</w:t>
            </w:r>
            <w:r>
              <w:rPr>
                <w:rFonts w:hint="eastAsia"/>
                <w:sz w:val="18"/>
                <w:szCs w:val="18"/>
              </w:rPr>
              <w:br w:type="textWrapping"/>
            </w:r>
            <w:r>
              <w:rPr>
                <w:rFonts w:hint="eastAsia"/>
                <w:sz w:val="18"/>
                <w:szCs w:val="18"/>
              </w:rPr>
              <w:t>2.资产处置规范，有偿使用及处置收入及时足额上缴（1分）。</w:t>
            </w:r>
          </w:p>
        </w:tc>
        <w:tc>
          <w:tcPr>
            <w:tcW w:w="610" w:type="pct"/>
            <w:vAlign w:val="center"/>
          </w:tcPr>
          <w:p>
            <w:pPr>
              <w:rPr>
                <w:rFonts w:hint="eastAsia"/>
                <w:sz w:val="18"/>
                <w:szCs w:val="18"/>
              </w:rPr>
            </w:pPr>
            <w:r>
              <w:rPr>
                <w:rFonts w:hint="eastAsia"/>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固定资产利用率(1分)</w:t>
            </w:r>
          </w:p>
        </w:tc>
        <w:tc>
          <w:tcPr>
            <w:tcW w:w="2780" w:type="pct"/>
            <w:gridSpan w:val="3"/>
            <w:vAlign w:val="center"/>
          </w:tcPr>
          <w:p>
            <w:pPr>
              <w:rPr>
                <w:rFonts w:hint="eastAsia"/>
                <w:sz w:val="18"/>
                <w:szCs w:val="18"/>
              </w:rPr>
            </w:pPr>
            <w:r>
              <w:rPr>
                <w:rFonts w:hint="eastAsia"/>
                <w:sz w:val="18"/>
                <w:szCs w:val="18"/>
              </w:rPr>
              <w:t>固定资产利用率=（实际在用固定资产总额/所有固定资产总额）X100%</w:t>
            </w:r>
            <w:r>
              <w:rPr>
                <w:rFonts w:hint="eastAsia"/>
                <w:sz w:val="18"/>
                <w:szCs w:val="18"/>
              </w:rPr>
              <w:br w:type="textWrapping"/>
            </w:r>
            <w:r>
              <w:rPr>
                <w:rFonts w:hint="eastAsia"/>
                <w:sz w:val="18"/>
                <w:szCs w:val="18"/>
              </w:rPr>
              <w:t>1.固定资产利用率≥90%的，得1分；</w:t>
            </w:r>
            <w:r>
              <w:rPr>
                <w:rFonts w:hint="eastAsia"/>
                <w:sz w:val="18"/>
                <w:szCs w:val="18"/>
              </w:rPr>
              <w:br w:type="textWrapping"/>
            </w:r>
            <w:r>
              <w:rPr>
                <w:rFonts w:hint="eastAsia"/>
                <w:sz w:val="18"/>
                <w:szCs w:val="18"/>
              </w:rPr>
              <w:t>2.90%＞固定资产利用率≥75%的，得0.7分；</w:t>
            </w:r>
            <w:r>
              <w:rPr>
                <w:rFonts w:hint="eastAsia"/>
                <w:sz w:val="18"/>
                <w:szCs w:val="18"/>
              </w:rPr>
              <w:br w:type="textWrapping"/>
            </w:r>
            <w:r>
              <w:rPr>
                <w:rFonts w:hint="eastAsia"/>
                <w:sz w:val="18"/>
                <w:szCs w:val="18"/>
              </w:rPr>
              <w:t>3.75%＞固定资产利用率≥60%的，得0.4分；</w:t>
            </w:r>
            <w:r>
              <w:rPr>
                <w:rFonts w:hint="eastAsia"/>
                <w:sz w:val="18"/>
                <w:szCs w:val="18"/>
              </w:rPr>
              <w:br w:type="textWrapping"/>
            </w:r>
            <w:r>
              <w:rPr>
                <w:rFonts w:hint="eastAsia"/>
                <w:sz w:val="18"/>
                <w:szCs w:val="18"/>
              </w:rPr>
              <w:t>4.固定资产利用率&lt;60%的，得0分。</w:t>
            </w:r>
          </w:p>
        </w:tc>
        <w:tc>
          <w:tcPr>
            <w:tcW w:w="610" w:type="pct"/>
            <w:vAlign w:val="center"/>
          </w:tcPr>
          <w:p>
            <w:pPr>
              <w:rPr>
                <w:rFonts w:hint="eastAsia"/>
                <w:sz w:val="18"/>
                <w:szCs w:val="18"/>
              </w:rPr>
            </w:pPr>
            <w:r>
              <w:rPr>
                <w:rFonts w:hint="eastAsia"/>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restart"/>
            <w:vAlign w:val="center"/>
          </w:tcPr>
          <w:p>
            <w:pPr>
              <w:rPr>
                <w:rFonts w:hint="eastAsia"/>
                <w:sz w:val="18"/>
                <w:szCs w:val="18"/>
              </w:rPr>
            </w:pPr>
            <w:r>
              <w:rPr>
                <w:rFonts w:hint="eastAsia"/>
                <w:sz w:val="18"/>
                <w:szCs w:val="18"/>
              </w:rPr>
              <w:t>人员管理(2分)</w:t>
            </w:r>
          </w:p>
        </w:tc>
        <w:tc>
          <w:tcPr>
            <w:tcW w:w="517" w:type="pct"/>
            <w:vAlign w:val="center"/>
          </w:tcPr>
          <w:p>
            <w:pPr>
              <w:rPr>
                <w:rFonts w:hint="eastAsia"/>
                <w:sz w:val="18"/>
                <w:szCs w:val="18"/>
              </w:rPr>
            </w:pPr>
            <w:r>
              <w:rPr>
                <w:rFonts w:hint="eastAsia"/>
                <w:sz w:val="18"/>
                <w:szCs w:val="18"/>
              </w:rPr>
              <w:t>财政供养人员控制率(1分)</w:t>
            </w:r>
          </w:p>
        </w:tc>
        <w:tc>
          <w:tcPr>
            <w:tcW w:w="2780" w:type="pct"/>
            <w:gridSpan w:val="3"/>
            <w:vAlign w:val="center"/>
          </w:tcPr>
          <w:p>
            <w:pPr>
              <w:rPr>
                <w:rFonts w:hint="eastAsia"/>
                <w:sz w:val="18"/>
                <w:szCs w:val="18"/>
              </w:rPr>
            </w:pPr>
            <w:r>
              <w:rPr>
                <w:rFonts w:hint="eastAsia"/>
                <w:sz w:val="18"/>
                <w:szCs w:val="18"/>
              </w:rPr>
              <w:t>财政供养人员控制率=本年度在编人数（含工勤人员）/核定编制数（含工勤人员）</w:t>
            </w:r>
            <w:r>
              <w:rPr>
                <w:rFonts w:hint="eastAsia"/>
                <w:sz w:val="18"/>
                <w:szCs w:val="18"/>
              </w:rPr>
              <w:br w:type="textWrapping"/>
            </w:r>
            <w:r>
              <w:rPr>
                <w:rFonts w:hint="eastAsia"/>
                <w:sz w:val="18"/>
                <w:szCs w:val="18"/>
              </w:rPr>
              <w:t>1.财政供养人员控制率≤100%的，得1分；</w:t>
            </w:r>
            <w:r>
              <w:rPr>
                <w:rFonts w:hint="eastAsia"/>
                <w:sz w:val="18"/>
                <w:szCs w:val="18"/>
              </w:rPr>
              <w:br w:type="textWrapping"/>
            </w:r>
            <w:r>
              <w:rPr>
                <w:rFonts w:hint="eastAsia"/>
                <w:sz w:val="18"/>
                <w:szCs w:val="18"/>
              </w:rPr>
              <w:t>2.财政供养人员控制率＞100%的，得0分。</w:t>
            </w:r>
          </w:p>
        </w:tc>
        <w:tc>
          <w:tcPr>
            <w:tcW w:w="610" w:type="pct"/>
            <w:vAlign w:val="center"/>
          </w:tcPr>
          <w:p>
            <w:pPr>
              <w:rPr>
                <w:rFonts w:hint="eastAsia"/>
                <w:sz w:val="18"/>
                <w:szCs w:val="18"/>
              </w:rPr>
            </w:pPr>
            <w:r>
              <w:rPr>
                <w:rFonts w:hint="eastAsia"/>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编外人员控制率(1分)</w:t>
            </w:r>
          </w:p>
        </w:tc>
        <w:tc>
          <w:tcPr>
            <w:tcW w:w="2780" w:type="pct"/>
            <w:gridSpan w:val="3"/>
            <w:vAlign w:val="center"/>
          </w:tcPr>
          <w:p>
            <w:pPr>
              <w:rPr>
                <w:rFonts w:hint="eastAsia"/>
                <w:sz w:val="18"/>
                <w:szCs w:val="18"/>
              </w:rPr>
            </w:pPr>
            <w:r>
              <w:rPr>
                <w:rFonts w:hint="eastAsia"/>
                <w:sz w:val="18"/>
                <w:szCs w:val="18"/>
              </w:rPr>
              <w:t>1.比率＜5%的，得1分；</w:t>
            </w:r>
            <w:r>
              <w:rPr>
                <w:rFonts w:hint="eastAsia"/>
                <w:sz w:val="18"/>
                <w:szCs w:val="18"/>
              </w:rPr>
              <w:br w:type="textWrapping"/>
            </w:r>
            <w:r>
              <w:rPr>
                <w:rFonts w:hint="eastAsia"/>
                <w:sz w:val="18"/>
                <w:szCs w:val="18"/>
              </w:rPr>
              <w:t>2.5%≤比率≤10%的，得0.5分；</w:t>
            </w:r>
            <w:r>
              <w:rPr>
                <w:rFonts w:hint="eastAsia"/>
                <w:sz w:val="18"/>
                <w:szCs w:val="18"/>
              </w:rPr>
              <w:br w:type="textWrapping"/>
            </w:r>
            <w:r>
              <w:rPr>
                <w:rFonts w:hint="eastAsia"/>
                <w:sz w:val="18"/>
                <w:szCs w:val="18"/>
              </w:rPr>
              <w:t>3.比率＞10%的，得0分。</w:t>
            </w:r>
          </w:p>
        </w:tc>
        <w:tc>
          <w:tcPr>
            <w:tcW w:w="610" w:type="pct"/>
            <w:vAlign w:val="center"/>
          </w:tcPr>
          <w:p>
            <w:pPr>
              <w:rPr>
                <w:rFonts w:hint="eastAsia"/>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Align w:val="center"/>
          </w:tcPr>
          <w:p>
            <w:pPr>
              <w:rPr>
                <w:rFonts w:hint="eastAsia"/>
                <w:sz w:val="18"/>
                <w:szCs w:val="18"/>
              </w:rPr>
            </w:pPr>
            <w:r>
              <w:rPr>
                <w:rFonts w:hint="eastAsia"/>
                <w:sz w:val="18"/>
                <w:szCs w:val="18"/>
              </w:rPr>
              <w:t>制度管理(3分)</w:t>
            </w:r>
          </w:p>
        </w:tc>
        <w:tc>
          <w:tcPr>
            <w:tcW w:w="517" w:type="pct"/>
            <w:vAlign w:val="center"/>
          </w:tcPr>
          <w:p>
            <w:pPr>
              <w:rPr>
                <w:rFonts w:hint="eastAsia"/>
                <w:sz w:val="18"/>
                <w:szCs w:val="18"/>
              </w:rPr>
            </w:pPr>
            <w:r>
              <w:rPr>
                <w:rFonts w:hint="eastAsia"/>
                <w:sz w:val="18"/>
                <w:szCs w:val="18"/>
              </w:rPr>
              <w:t>管理制度健全性(3分)</w:t>
            </w:r>
          </w:p>
        </w:tc>
        <w:tc>
          <w:tcPr>
            <w:tcW w:w="2780" w:type="pct"/>
            <w:gridSpan w:val="3"/>
            <w:vAlign w:val="center"/>
          </w:tcPr>
          <w:p>
            <w:pPr>
              <w:rPr>
                <w:rFonts w:hint="eastAsia"/>
                <w:sz w:val="18"/>
                <w:szCs w:val="18"/>
              </w:rPr>
            </w:pPr>
            <w:r>
              <w:rPr>
                <w:rFonts w:hint="eastAsia"/>
                <w:sz w:val="18"/>
                <w:szCs w:val="18"/>
              </w:rPr>
              <w:t>1.部门制定了财政资金管理、财务管理、内部控制等制度（0.5分）；</w:t>
            </w:r>
            <w:r>
              <w:rPr>
                <w:rFonts w:hint="eastAsia"/>
                <w:sz w:val="18"/>
                <w:szCs w:val="18"/>
              </w:rPr>
              <w:br w:type="textWrapping"/>
            </w:r>
            <w:r>
              <w:rPr>
                <w:rFonts w:hint="eastAsia"/>
                <w:sz w:val="18"/>
                <w:szCs w:val="18"/>
              </w:rPr>
              <w:t>2.上述财政资金管理、财务管理、内部控制等制度得到有效执行（1.5分）；</w:t>
            </w:r>
            <w:r>
              <w:rPr>
                <w:rFonts w:hint="eastAsia"/>
                <w:sz w:val="18"/>
                <w:szCs w:val="18"/>
              </w:rPr>
              <w:br w:type="textWrapping"/>
            </w:r>
            <w:r>
              <w:rPr>
                <w:rFonts w:hint="eastAsia"/>
                <w:sz w:val="18"/>
                <w:szCs w:val="18"/>
              </w:rPr>
              <w:t>3.部门按照预算和绩效管理一体化的要求制定本部门全面实施预算绩效管理的制度或工作方案，组织指导本级及下属单位开展事前及评估、绩效目标编报、绩效监控、绩效评价和评价结果应用等工作（1分）。</w:t>
            </w:r>
          </w:p>
        </w:tc>
        <w:tc>
          <w:tcPr>
            <w:tcW w:w="610" w:type="pct"/>
            <w:vAlign w:val="center"/>
          </w:tcPr>
          <w:p>
            <w:pPr>
              <w:rPr>
                <w:rFonts w:hint="eastAsia"/>
                <w:sz w:val="18"/>
                <w:szCs w:val="18"/>
              </w:rPr>
            </w:pPr>
            <w:r>
              <w:rPr>
                <w:rFonts w:hint="eastAsia"/>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restart"/>
            <w:vAlign w:val="center"/>
          </w:tcPr>
          <w:p>
            <w:pPr>
              <w:rPr>
                <w:rFonts w:hint="eastAsia"/>
                <w:sz w:val="18"/>
                <w:szCs w:val="18"/>
              </w:rPr>
            </w:pPr>
            <w:r>
              <w:rPr>
                <w:rFonts w:hint="eastAsia"/>
                <w:sz w:val="18"/>
                <w:szCs w:val="18"/>
              </w:rPr>
              <w:t>部门绩效(55分)</w:t>
            </w:r>
          </w:p>
        </w:tc>
        <w:tc>
          <w:tcPr>
            <w:tcW w:w="475" w:type="pct"/>
            <w:vAlign w:val="center"/>
          </w:tcPr>
          <w:p>
            <w:pPr>
              <w:rPr>
                <w:rFonts w:hint="eastAsia"/>
                <w:sz w:val="18"/>
                <w:szCs w:val="18"/>
              </w:rPr>
            </w:pPr>
            <w:r>
              <w:rPr>
                <w:rFonts w:hint="eastAsia"/>
                <w:sz w:val="18"/>
                <w:szCs w:val="18"/>
              </w:rPr>
              <w:t>经济性(4分)</w:t>
            </w:r>
          </w:p>
        </w:tc>
        <w:tc>
          <w:tcPr>
            <w:tcW w:w="517" w:type="pct"/>
            <w:vAlign w:val="center"/>
          </w:tcPr>
          <w:p>
            <w:pPr>
              <w:rPr>
                <w:rFonts w:hint="eastAsia"/>
                <w:sz w:val="18"/>
                <w:szCs w:val="18"/>
              </w:rPr>
            </w:pPr>
            <w:r>
              <w:rPr>
                <w:rFonts w:hint="eastAsia"/>
                <w:sz w:val="18"/>
                <w:szCs w:val="18"/>
              </w:rPr>
              <w:t>公用经费控制率(4分)</w:t>
            </w:r>
          </w:p>
        </w:tc>
        <w:tc>
          <w:tcPr>
            <w:tcW w:w="2780" w:type="pct"/>
            <w:gridSpan w:val="3"/>
            <w:vAlign w:val="center"/>
          </w:tcPr>
          <w:p>
            <w:pPr>
              <w:rPr>
                <w:rFonts w:hint="eastAsia"/>
                <w:sz w:val="18"/>
                <w:szCs w:val="18"/>
              </w:rPr>
            </w:pPr>
            <w:r>
              <w:rPr>
                <w:rFonts w:hint="eastAsia"/>
                <w:sz w:val="18"/>
                <w:szCs w:val="18"/>
              </w:rPr>
              <w:t>1.“三公”经费控制率=“三公”经费实际支出数/“三公”经费预算安排数×100%</w:t>
            </w:r>
            <w:r>
              <w:rPr>
                <w:rFonts w:hint="eastAsia"/>
                <w:sz w:val="18"/>
                <w:szCs w:val="18"/>
              </w:rPr>
              <w:br w:type="textWrapping"/>
            </w:r>
            <w:r>
              <w:rPr>
                <w:rFonts w:hint="eastAsia"/>
                <w:sz w:val="18"/>
                <w:szCs w:val="18"/>
              </w:rPr>
              <w:t>（1）“三公”经费控制率＜90%的，得2分；</w:t>
            </w:r>
            <w:r>
              <w:rPr>
                <w:rFonts w:hint="eastAsia"/>
                <w:sz w:val="18"/>
                <w:szCs w:val="18"/>
              </w:rPr>
              <w:br w:type="textWrapping"/>
            </w:r>
            <w:r>
              <w:rPr>
                <w:rFonts w:hint="eastAsia"/>
                <w:sz w:val="18"/>
                <w:szCs w:val="18"/>
              </w:rPr>
              <w:t>（2）90%≤“三公”经费控制率≤100%的，得1分；</w:t>
            </w:r>
            <w:r>
              <w:rPr>
                <w:rFonts w:hint="eastAsia"/>
                <w:sz w:val="18"/>
                <w:szCs w:val="18"/>
              </w:rPr>
              <w:br w:type="textWrapping"/>
            </w:r>
            <w:r>
              <w:rPr>
                <w:rFonts w:hint="eastAsia"/>
                <w:sz w:val="18"/>
                <w:szCs w:val="18"/>
              </w:rPr>
              <w:t>（3）“三公”经费控制率＞100%的，得0分。</w:t>
            </w:r>
            <w:r>
              <w:rPr>
                <w:rFonts w:hint="eastAsia"/>
                <w:sz w:val="18"/>
                <w:szCs w:val="18"/>
              </w:rPr>
              <w:br w:type="textWrapping"/>
            </w:r>
            <w:r>
              <w:rPr>
                <w:rFonts w:hint="eastAsia"/>
                <w:sz w:val="18"/>
                <w:szCs w:val="18"/>
              </w:rPr>
              <w:t xml:space="preserve">    2. 日常公用经费控制率=日常公用经费决算数/日常公用经费调整预算数×100%</w:t>
            </w:r>
            <w:r>
              <w:rPr>
                <w:rFonts w:hint="eastAsia"/>
                <w:sz w:val="18"/>
                <w:szCs w:val="18"/>
              </w:rPr>
              <w:br w:type="textWrapping"/>
            </w:r>
            <w:r>
              <w:rPr>
                <w:rFonts w:hint="eastAsia"/>
                <w:sz w:val="18"/>
                <w:szCs w:val="18"/>
              </w:rPr>
              <w:t>（1）日常公用经费控制率＜90%的，得2分；</w:t>
            </w:r>
            <w:r>
              <w:rPr>
                <w:rFonts w:hint="eastAsia"/>
                <w:sz w:val="18"/>
                <w:szCs w:val="18"/>
              </w:rPr>
              <w:br w:type="textWrapping"/>
            </w:r>
            <w:r>
              <w:rPr>
                <w:rFonts w:hint="eastAsia"/>
                <w:sz w:val="18"/>
                <w:szCs w:val="18"/>
              </w:rPr>
              <w:t>（2）90%≤日常公用经费控制率≤100%的，得1分；</w:t>
            </w:r>
            <w:r>
              <w:rPr>
                <w:rFonts w:hint="eastAsia"/>
                <w:sz w:val="18"/>
                <w:szCs w:val="18"/>
              </w:rPr>
              <w:br w:type="textWrapping"/>
            </w:r>
            <w:r>
              <w:rPr>
                <w:rFonts w:hint="eastAsia"/>
                <w:sz w:val="18"/>
                <w:szCs w:val="18"/>
              </w:rPr>
              <w:t>（3）日常公用经费控制率＞100%的，得0分。</w:t>
            </w:r>
          </w:p>
        </w:tc>
        <w:tc>
          <w:tcPr>
            <w:tcW w:w="610" w:type="pct"/>
            <w:vAlign w:val="center"/>
          </w:tcPr>
          <w:p>
            <w:pPr>
              <w:rPr>
                <w:rFonts w:hint="eastAsia"/>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restart"/>
            <w:vAlign w:val="center"/>
          </w:tcPr>
          <w:p>
            <w:pPr>
              <w:rPr>
                <w:rFonts w:hint="eastAsia"/>
                <w:sz w:val="18"/>
                <w:szCs w:val="18"/>
              </w:rPr>
            </w:pPr>
            <w:r>
              <w:rPr>
                <w:rFonts w:hint="eastAsia"/>
                <w:sz w:val="18"/>
                <w:szCs w:val="18"/>
              </w:rPr>
              <w:t>效率性(22分)</w:t>
            </w:r>
          </w:p>
        </w:tc>
        <w:tc>
          <w:tcPr>
            <w:tcW w:w="517" w:type="pct"/>
            <w:vAlign w:val="center"/>
          </w:tcPr>
          <w:p>
            <w:pPr>
              <w:rPr>
                <w:rFonts w:hint="eastAsia"/>
                <w:sz w:val="18"/>
                <w:szCs w:val="18"/>
              </w:rPr>
            </w:pPr>
            <w:r>
              <w:rPr>
                <w:rFonts w:hint="eastAsia"/>
                <w:sz w:val="18"/>
                <w:szCs w:val="18"/>
              </w:rPr>
              <w:t>预算执行率(6分)</w:t>
            </w:r>
          </w:p>
        </w:tc>
        <w:tc>
          <w:tcPr>
            <w:tcW w:w="2780" w:type="pct"/>
            <w:gridSpan w:val="3"/>
            <w:vAlign w:val="center"/>
          </w:tcPr>
          <w:p>
            <w:pPr>
              <w:rPr>
                <w:rFonts w:hint="eastAsia"/>
                <w:sz w:val="18"/>
                <w:szCs w:val="18"/>
              </w:rPr>
            </w:pPr>
            <w:r>
              <w:rPr>
                <w:rFonts w:hint="eastAsia"/>
                <w:sz w:val="18"/>
                <w:szCs w:val="18"/>
              </w:rPr>
              <w:t>1.一季度预算执行率得分=（一季度部门预算支出进度/序时进度25%）X1分；</w:t>
            </w:r>
            <w:r>
              <w:rPr>
                <w:rFonts w:hint="eastAsia"/>
                <w:sz w:val="18"/>
                <w:szCs w:val="18"/>
              </w:rPr>
              <w:br w:type="textWrapping"/>
            </w:r>
            <w:r>
              <w:rPr>
                <w:rFonts w:hint="eastAsia"/>
                <w:sz w:val="18"/>
                <w:szCs w:val="18"/>
              </w:rPr>
              <w:t>2.二季度预算执行率得分=（二季度部门预算支出进度/序时进度50%）X1分；</w:t>
            </w:r>
            <w:r>
              <w:rPr>
                <w:rFonts w:hint="eastAsia"/>
                <w:sz w:val="18"/>
                <w:szCs w:val="18"/>
              </w:rPr>
              <w:br w:type="textWrapping"/>
            </w:r>
            <w:r>
              <w:rPr>
                <w:rFonts w:hint="eastAsia"/>
                <w:sz w:val="18"/>
                <w:szCs w:val="18"/>
              </w:rPr>
              <w:t>3.三季度预算执行率得分=（三季度部门预算支出进度/序时进度75%）X1分；</w:t>
            </w:r>
            <w:r>
              <w:rPr>
                <w:rFonts w:hint="eastAsia"/>
                <w:sz w:val="18"/>
                <w:szCs w:val="18"/>
              </w:rPr>
              <w:br w:type="textWrapping"/>
            </w:r>
            <w:r>
              <w:rPr>
                <w:rFonts w:hint="eastAsia"/>
                <w:sz w:val="18"/>
                <w:szCs w:val="18"/>
              </w:rPr>
              <w:t>4.四季度预算执行率得分=（四季度部门预算支出进度/序时进度100%）X1分；</w:t>
            </w:r>
            <w:r>
              <w:rPr>
                <w:rFonts w:hint="eastAsia"/>
                <w:sz w:val="18"/>
                <w:szCs w:val="18"/>
              </w:rPr>
              <w:br w:type="textWrapping"/>
            </w:r>
            <w:r>
              <w:rPr>
                <w:rFonts w:hint="eastAsia"/>
                <w:sz w:val="18"/>
                <w:szCs w:val="18"/>
              </w:rPr>
              <w:t>5.全年平均支出进度得分=全年平均执行率X2分</w:t>
            </w:r>
            <w:r>
              <w:rPr>
                <w:rFonts w:hint="eastAsia"/>
                <w:sz w:val="18"/>
                <w:szCs w:val="18"/>
              </w:rPr>
              <w:br w:type="textWrapping"/>
            </w:r>
            <w:r>
              <w:rPr>
                <w:rFonts w:hint="eastAsia"/>
                <w:sz w:val="18"/>
                <w:szCs w:val="18"/>
              </w:rPr>
              <w:t>其中：全年平均执行率=每个季度的执行率/4</w:t>
            </w:r>
          </w:p>
        </w:tc>
        <w:tc>
          <w:tcPr>
            <w:tcW w:w="610" w:type="pct"/>
            <w:vAlign w:val="center"/>
          </w:tcPr>
          <w:p>
            <w:pPr>
              <w:rPr>
                <w:rFonts w:hint="eastAsia"/>
                <w:sz w:val="18"/>
                <w:szCs w:val="18"/>
              </w:rPr>
            </w:pPr>
            <w:r>
              <w:rPr>
                <w:rFonts w:hint="eastAsia"/>
                <w:sz w:val="18"/>
                <w:szCs w:val="18"/>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实际完成情况(4分)</w:t>
            </w:r>
          </w:p>
        </w:tc>
        <w:tc>
          <w:tcPr>
            <w:tcW w:w="2780" w:type="pct"/>
            <w:gridSpan w:val="3"/>
            <w:vAlign w:val="center"/>
          </w:tcPr>
          <w:p>
            <w:pPr>
              <w:rPr>
                <w:rFonts w:hint="eastAsia"/>
                <w:sz w:val="18"/>
                <w:szCs w:val="18"/>
              </w:rPr>
            </w:pPr>
            <w:r>
              <w:rPr>
                <w:rFonts w:hint="eastAsia"/>
                <w:sz w:val="18"/>
                <w:szCs w:val="18"/>
              </w:rPr>
              <w:t>实际完成率=（实际完成工作数/计划工作数）×100%。</w:t>
            </w:r>
            <w:r>
              <w:rPr>
                <w:rFonts w:hint="eastAsia"/>
                <w:sz w:val="18"/>
                <w:szCs w:val="18"/>
              </w:rPr>
              <w:br w:type="textWrapping"/>
            </w:r>
            <w:r>
              <w:rPr>
                <w:rFonts w:hint="eastAsia"/>
                <w:sz w:val="18"/>
                <w:szCs w:val="18"/>
              </w:rPr>
              <w:t>实际完成工作数：一定时期（年度或规划期）内部门（单位）实际完成工作任务的数量。</w:t>
            </w:r>
            <w:r>
              <w:rPr>
                <w:rFonts w:hint="eastAsia"/>
                <w:sz w:val="18"/>
                <w:szCs w:val="18"/>
              </w:rPr>
              <w:br w:type="textWrapping"/>
            </w:r>
            <w:r>
              <w:rPr>
                <w:rFonts w:hint="eastAsia"/>
                <w:sz w:val="18"/>
                <w:szCs w:val="18"/>
              </w:rPr>
              <w:t>计划工作数：部门（单位）整体绩效目标确定的一定时期（年度或规划期）内预计完成工作任务的数量。</w:t>
            </w:r>
            <w:r>
              <w:rPr>
                <w:rFonts w:hint="eastAsia"/>
                <w:sz w:val="18"/>
                <w:szCs w:val="18"/>
              </w:rPr>
              <w:br w:type="textWrapping"/>
            </w:r>
            <w:r>
              <w:rPr>
                <w:rFonts w:hint="eastAsia"/>
                <w:sz w:val="18"/>
                <w:szCs w:val="18"/>
              </w:rPr>
              <w:t>（1）实际完成率=100%的，得4分；</w:t>
            </w:r>
            <w:r>
              <w:rPr>
                <w:rFonts w:hint="eastAsia"/>
                <w:sz w:val="18"/>
                <w:szCs w:val="18"/>
              </w:rPr>
              <w:br w:type="textWrapping"/>
            </w:r>
            <w:r>
              <w:rPr>
                <w:rFonts w:hint="eastAsia"/>
                <w:sz w:val="18"/>
                <w:szCs w:val="18"/>
              </w:rPr>
              <w:t>（2）85%≤实际完成率＜100%的，得3分；</w:t>
            </w:r>
            <w:r>
              <w:rPr>
                <w:rFonts w:hint="eastAsia"/>
                <w:sz w:val="18"/>
                <w:szCs w:val="18"/>
              </w:rPr>
              <w:br w:type="textWrapping"/>
            </w:r>
            <w:r>
              <w:rPr>
                <w:rFonts w:hint="eastAsia"/>
                <w:sz w:val="18"/>
                <w:szCs w:val="18"/>
              </w:rPr>
              <w:t>（3）60%≤实际完成率＜85%的，得2分；</w:t>
            </w:r>
            <w:r>
              <w:rPr>
                <w:rFonts w:hint="eastAsia"/>
                <w:sz w:val="18"/>
                <w:szCs w:val="18"/>
              </w:rPr>
              <w:br w:type="textWrapping"/>
            </w:r>
            <w:r>
              <w:rPr>
                <w:rFonts w:hint="eastAsia"/>
                <w:sz w:val="18"/>
                <w:szCs w:val="18"/>
              </w:rPr>
              <w:t>（4）实际完成率＜60%的的，得0分。</w:t>
            </w:r>
          </w:p>
        </w:tc>
        <w:tc>
          <w:tcPr>
            <w:tcW w:w="610" w:type="pct"/>
            <w:vAlign w:val="center"/>
          </w:tcPr>
          <w:p>
            <w:pPr>
              <w:rPr>
                <w:rFonts w:hint="eastAsia"/>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完成质量情况(4分)</w:t>
            </w:r>
          </w:p>
        </w:tc>
        <w:tc>
          <w:tcPr>
            <w:tcW w:w="2780" w:type="pct"/>
            <w:gridSpan w:val="3"/>
            <w:vAlign w:val="center"/>
          </w:tcPr>
          <w:p>
            <w:pPr>
              <w:rPr>
                <w:rFonts w:hint="eastAsia"/>
                <w:sz w:val="18"/>
                <w:szCs w:val="18"/>
              </w:rPr>
            </w:pPr>
            <w:r>
              <w:rPr>
                <w:rFonts w:hint="eastAsia"/>
                <w:sz w:val="18"/>
                <w:szCs w:val="18"/>
              </w:rPr>
              <w:t>质量达标率=（质量达标实际工作数/计划工作数）×100%。</w:t>
            </w:r>
            <w:r>
              <w:rPr>
                <w:rFonts w:hint="eastAsia"/>
                <w:sz w:val="18"/>
                <w:szCs w:val="18"/>
              </w:rPr>
              <w:br w:type="textWrapping"/>
            </w:r>
            <w:r>
              <w:rPr>
                <w:rFonts w:hint="eastAsia"/>
                <w:sz w:val="18"/>
                <w:szCs w:val="18"/>
              </w:rPr>
              <w:t>质量达标实际工作数：一定时期（年度或规划期）内部门（单位）实际完成工作数中达到部门绩效目标要求（绩效标准值）的工作任务数量。</w:t>
            </w:r>
            <w:r>
              <w:rPr>
                <w:rFonts w:hint="eastAsia"/>
                <w:sz w:val="18"/>
                <w:szCs w:val="18"/>
              </w:rPr>
              <w:br w:type="textWrapping"/>
            </w:r>
            <w:r>
              <w:rPr>
                <w:rFonts w:hint="eastAsia"/>
                <w:sz w:val="18"/>
                <w:szCs w:val="18"/>
              </w:rPr>
              <w:t>（1）质量达标率=100%的，得4分；</w:t>
            </w:r>
            <w:r>
              <w:rPr>
                <w:rFonts w:hint="eastAsia"/>
                <w:sz w:val="18"/>
                <w:szCs w:val="18"/>
              </w:rPr>
              <w:br w:type="textWrapping"/>
            </w:r>
            <w:r>
              <w:rPr>
                <w:rFonts w:hint="eastAsia"/>
                <w:sz w:val="18"/>
                <w:szCs w:val="18"/>
              </w:rPr>
              <w:t>（2）85%≤质量达标率＜100%的，得3分；</w:t>
            </w:r>
            <w:r>
              <w:rPr>
                <w:rFonts w:hint="eastAsia"/>
                <w:sz w:val="18"/>
                <w:szCs w:val="18"/>
              </w:rPr>
              <w:br w:type="textWrapping"/>
            </w:r>
            <w:r>
              <w:rPr>
                <w:rFonts w:hint="eastAsia"/>
                <w:sz w:val="18"/>
                <w:szCs w:val="18"/>
              </w:rPr>
              <w:t>（3）60%≤质量达标率＜85%的，得2分；</w:t>
            </w:r>
            <w:r>
              <w:rPr>
                <w:rFonts w:hint="eastAsia"/>
                <w:sz w:val="18"/>
                <w:szCs w:val="18"/>
              </w:rPr>
              <w:br w:type="textWrapping"/>
            </w:r>
            <w:r>
              <w:rPr>
                <w:rFonts w:hint="eastAsia"/>
                <w:sz w:val="18"/>
                <w:szCs w:val="18"/>
              </w:rPr>
              <w:t>（4）质量达标率＜60%的的，得0分。</w:t>
            </w:r>
          </w:p>
        </w:tc>
        <w:tc>
          <w:tcPr>
            <w:tcW w:w="610" w:type="pct"/>
            <w:vAlign w:val="center"/>
          </w:tcPr>
          <w:p>
            <w:pPr>
              <w:rPr>
                <w:rFonts w:hint="eastAsia"/>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工作完成及时性(4分)</w:t>
            </w:r>
          </w:p>
        </w:tc>
        <w:tc>
          <w:tcPr>
            <w:tcW w:w="2780" w:type="pct"/>
            <w:gridSpan w:val="3"/>
            <w:vAlign w:val="center"/>
          </w:tcPr>
          <w:p>
            <w:pPr>
              <w:rPr>
                <w:rFonts w:hint="eastAsia"/>
                <w:sz w:val="18"/>
                <w:szCs w:val="18"/>
              </w:rPr>
            </w:pPr>
            <w:r>
              <w:rPr>
                <w:rFonts w:hint="eastAsia"/>
                <w:sz w:val="18"/>
                <w:szCs w:val="18"/>
              </w:rPr>
              <w:t>1.所有部门当年度工作任务均按计划时间完成（4分）；</w:t>
            </w:r>
            <w:r>
              <w:rPr>
                <w:rFonts w:hint="eastAsia"/>
                <w:sz w:val="18"/>
                <w:szCs w:val="18"/>
              </w:rPr>
              <w:br w:type="textWrapping"/>
            </w:r>
            <w:r>
              <w:rPr>
                <w:rFonts w:hint="eastAsia"/>
                <w:sz w:val="18"/>
                <w:szCs w:val="18"/>
              </w:rPr>
              <w:t>2.部分工作未按计划时间完成的，本指标得分=及时完成工作数/计划完成工作总数×100%×4分。</w:t>
            </w:r>
          </w:p>
        </w:tc>
        <w:tc>
          <w:tcPr>
            <w:tcW w:w="610" w:type="pct"/>
            <w:vAlign w:val="center"/>
          </w:tcPr>
          <w:p>
            <w:pPr>
              <w:rPr>
                <w:rFonts w:hint="eastAsia"/>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重点工作完成情况(4分)</w:t>
            </w:r>
          </w:p>
        </w:tc>
        <w:tc>
          <w:tcPr>
            <w:tcW w:w="2780" w:type="pct"/>
            <w:gridSpan w:val="3"/>
            <w:vAlign w:val="center"/>
          </w:tcPr>
          <w:p>
            <w:pPr>
              <w:rPr>
                <w:rFonts w:hint="eastAsia"/>
                <w:sz w:val="18"/>
                <w:szCs w:val="18"/>
              </w:rPr>
            </w:pPr>
            <w:r>
              <w:rPr>
                <w:rFonts w:hint="eastAsia"/>
                <w:sz w:val="18"/>
                <w:szCs w:val="18"/>
              </w:rPr>
              <w:t>重点工作是指区委、区政府下达的年度重点工作任务。全部按期保质保量完成得4分；一项重点工作没有完成扣2分，扣完为止。</w:t>
            </w:r>
          </w:p>
        </w:tc>
        <w:tc>
          <w:tcPr>
            <w:tcW w:w="610" w:type="pct"/>
            <w:vAlign w:val="center"/>
          </w:tcPr>
          <w:p>
            <w:pPr>
              <w:rPr>
                <w:rFonts w:hint="eastAsia"/>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Align w:val="center"/>
          </w:tcPr>
          <w:p>
            <w:pPr>
              <w:rPr>
                <w:rFonts w:hint="eastAsia"/>
                <w:sz w:val="18"/>
                <w:szCs w:val="18"/>
              </w:rPr>
            </w:pPr>
            <w:r>
              <w:rPr>
                <w:rFonts w:hint="eastAsia"/>
                <w:sz w:val="18"/>
                <w:szCs w:val="18"/>
              </w:rPr>
              <w:t>效果性(20分)</w:t>
            </w:r>
          </w:p>
        </w:tc>
        <w:tc>
          <w:tcPr>
            <w:tcW w:w="517" w:type="pct"/>
            <w:vAlign w:val="center"/>
          </w:tcPr>
          <w:p>
            <w:pPr>
              <w:rPr>
                <w:rFonts w:hint="eastAsia"/>
                <w:sz w:val="18"/>
                <w:szCs w:val="18"/>
              </w:rPr>
            </w:pPr>
            <w:r>
              <w:rPr>
                <w:rFonts w:hint="eastAsia"/>
                <w:sz w:val="18"/>
                <w:szCs w:val="18"/>
              </w:rPr>
              <w:t>社会效益、经济效益、生态效益及可持续影响等(20分)</w:t>
            </w:r>
          </w:p>
        </w:tc>
        <w:tc>
          <w:tcPr>
            <w:tcW w:w="2780" w:type="pct"/>
            <w:gridSpan w:val="3"/>
            <w:vAlign w:val="center"/>
          </w:tcPr>
          <w:p>
            <w:pPr>
              <w:rPr>
                <w:rFonts w:hint="eastAsia"/>
                <w:sz w:val="18"/>
                <w:szCs w:val="18"/>
              </w:rPr>
            </w:pPr>
            <w:r>
              <w:rPr>
                <w:rFonts w:hint="eastAsia"/>
                <w:sz w:val="18"/>
                <w:szCs w:val="18"/>
              </w:rPr>
              <w:t>根据部门（单位）职责，结合部门整体支出绩效目标，合理设置个性化绩效指标，通过绩效指标完成情况与目标值对比分析进行评分，未实现绩效目标的酌情扣分。</w:t>
            </w:r>
            <w:r>
              <w:rPr>
                <w:rFonts w:hint="eastAsia"/>
                <w:sz w:val="18"/>
                <w:szCs w:val="18"/>
              </w:rPr>
              <w:br w:type="textWrapping"/>
            </w:r>
            <w:r>
              <w:rPr>
                <w:rFonts w:hint="eastAsia"/>
                <w:sz w:val="18"/>
                <w:szCs w:val="18"/>
              </w:rPr>
              <w:t>根据部门（单位）履职内容和性质，从社会效益、经济效益、生态效益、可持续影响等方面，至少选择三个方面对工作实效和效益进行评价。</w:t>
            </w:r>
          </w:p>
        </w:tc>
        <w:tc>
          <w:tcPr>
            <w:tcW w:w="610" w:type="pct"/>
            <w:vAlign w:val="center"/>
          </w:tcPr>
          <w:p>
            <w:pPr>
              <w:rPr>
                <w:rFonts w:hint="eastAsia"/>
                <w:sz w:val="18"/>
                <w:szCs w:val="18"/>
              </w:rPr>
            </w:pPr>
            <w:r>
              <w:rPr>
                <w:rFonts w:hint="eastAsia"/>
                <w:sz w:val="18"/>
                <w:szCs w:val="18"/>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restart"/>
            <w:vAlign w:val="center"/>
          </w:tcPr>
          <w:p>
            <w:pPr>
              <w:rPr>
                <w:rFonts w:hint="eastAsia"/>
                <w:sz w:val="18"/>
                <w:szCs w:val="18"/>
              </w:rPr>
            </w:pPr>
            <w:r>
              <w:rPr>
                <w:rFonts w:hint="eastAsia"/>
                <w:sz w:val="18"/>
                <w:szCs w:val="18"/>
              </w:rPr>
              <w:t>公平性(9分)</w:t>
            </w:r>
          </w:p>
        </w:tc>
        <w:tc>
          <w:tcPr>
            <w:tcW w:w="517" w:type="pct"/>
            <w:vAlign w:val="center"/>
          </w:tcPr>
          <w:p>
            <w:pPr>
              <w:rPr>
                <w:rFonts w:hint="eastAsia"/>
                <w:sz w:val="18"/>
                <w:szCs w:val="18"/>
              </w:rPr>
            </w:pPr>
            <w:r>
              <w:rPr>
                <w:rFonts w:hint="eastAsia"/>
                <w:sz w:val="18"/>
                <w:szCs w:val="18"/>
              </w:rPr>
              <w:t>群众信访办理情况(3分)</w:t>
            </w:r>
          </w:p>
        </w:tc>
        <w:tc>
          <w:tcPr>
            <w:tcW w:w="2780" w:type="pct"/>
            <w:gridSpan w:val="3"/>
            <w:vAlign w:val="center"/>
          </w:tcPr>
          <w:p>
            <w:pPr>
              <w:rPr>
                <w:rFonts w:hint="eastAsia"/>
                <w:sz w:val="18"/>
                <w:szCs w:val="18"/>
              </w:rPr>
            </w:pPr>
            <w:r>
              <w:rPr>
                <w:rFonts w:hint="eastAsia"/>
                <w:sz w:val="18"/>
                <w:szCs w:val="18"/>
              </w:rPr>
              <w:t>1.建立了便利的群众意见反映渠道和群众意见办理回复机制（1分）；</w:t>
            </w:r>
            <w:r>
              <w:rPr>
                <w:rFonts w:hint="eastAsia"/>
                <w:sz w:val="18"/>
                <w:szCs w:val="18"/>
              </w:rPr>
              <w:br w:type="textWrapping"/>
            </w:r>
            <w:r>
              <w:rPr>
                <w:rFonts w:hint="eastAsia"/>
                <w:sz w:val="18"/>
                <w:szCs w:val="18"/>
              </w:rPr>
              <w:t>2.当年度群众信访办理回复率达100%（1分）；</w:t>
            </w:r>
            <w:r>
              <w:rPr>
                <w:rFonts w:hint="eastAsia"/>
                <w:sz w:val="18"/>
                <w:szCs w:val="18"/>
              </w:rPr>
              <w:br w:type="textWrapping"/>
            </w:r>
            <w:r>
              <w:rPr>
                <w:rFonts w:hint="eastAsia"/>
                <w:sz w:val="18"/>
                <w:szCs w:val="18"/>
              </w:rPr>
              <w:t>3.当年度群众信访及时办理回复率达100%，未发生超期（1分）。</w:t>
            </w:r>
          </w:p>
        </w:tc>
        <w:tc>
          <w:tcPr>
            <w:tcW w:w="610" w:type="pct"/>
            <w:vAlign w:val="center"/>
          </w:tcPr>
          <w:p>
            <w:pPr>
              <w:rPr>
                <w:rFonts w:hint="eastAsia"/>
                <w:sz w:val="18"/>
                <w:szCs w:val="18"/>
              </w:rPr>
            </w:pPr>
            <w:r>
              <w:rPr>
                <w:rFonts w:hint="eastAsia"/>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9" w:type="pct"/>
            <w:vMerge w:val="continue"/>
            <w:vAlign w:val="center"/>
          </w:tcPr>
          <w:p>
            <w:pPr>
              <w:rPr>
                <w:sz w:val="18"/>
                <w:szCs w:val="18"/>
              </w:rPr>
            </w:pPr>
          </w:p>
        </w:tc>
        <w:tc>
          <w:tcPr>
            <w:tcW w:w="475" w:type="pct"/>
            <w:vMerge w:val="continue"/>
            <w:vAlign w:val="center"/>
          </w:tcPr>
          <w:p>
            <w:pPr>
              <w:rPr>
                <w:sz w:val="18"/>
                <w:szCs w:val="18"/>
              </w:rPr>
            </w:pPr>
          </w:p>
        </w:tc>
        <w:tc>
          <w:tcPr>
            <w:tcW w:w="517" w:type="pct"/>
            <w:vAlign w:val="center"/>
          </w:tcPr>
          <w:p>
            <w:pPr>
              <w:rPr>
                <w:rFonts w:hint="eastAsia"/>
                <w:sz w:val="18"/>
                <w:szCs w:val="18"/>
              </w:rPr>
            </w:pPr>
            <w:r>
              <w:rPr>
                <w:rFonts w:hint="eastAsia"/>
                <w:sz w:val="18"/>
                <w:szCs w:val="18"/>
              </w:rPr>
              <w:t>公众或服务对象满意度(6分)</w:t>
            </w:r>
          </w:p>
        </w:tc>
        <w:tc>
          <w:tcPr>
            <w:tcW w:w="2780" w:type="pct"/>
            <w:gridSpan w:val="3"/>
            <w:vAlign w:val="center"/>
          </w:tcPr>
          <w:p>
            <w:pPr>
              <w:rPr>
                <w:rFonts w:hint="eastAsia"/>
                <w:sz w:val="18"/>
                <w:szCs w:val="18"/>
              </w:rPr>
            </w:pPr>
            <w:r>
              <w:rPr>
                <w:rFonts w:hint="eastAsia"/>
                <w:sz w:val="18"/>
                <w:szCs w:val="18"/>
              </w:rPr>
              <w:t>社会公众或服务对象是指部门（单位）履行职责而影响到的部门、群众或个人，一般采取社会调查的方式。如难以单独开展满意度调查的，可参照考市统计部门的数据、年度市直民主评议政风行风评价结果等数据，或者参考群众信访反馈的普遍性问题、本部门或权威第三方机构的开展满意度调查等进行分档计分。</w:t>
            </w:r>
            <w:r>
              <w:rPr>
                <w:rFonts w:hint="eastAsia"/>
                <w:sz w:val="18"/>
                <w:szCs w:val="18"/>
              </w:rPr>
              <w:br w:type="textWrapping"/>
            </w:r>
            <w:r>
              <w:rPr>
                <w:rFonts w:hint="eastAsia"/>
                <w:sz w:val="18"/>
                <w:szCs w:val="18"/>
              </w:rPr>
              <w:t>1.满意度≥95%，得6分；</w:t>
            </w:r>
            <w:r>
              <w:rPr>
                <w:rFonts w:hint="eastAsia"/>
                <w:sz w:val="18"/>
                <w:szCs w:val="18"/>
              </w:rPr>
              <w:br w:type="textWrapping"/>
            </w:r>
            <w:r>
              <w:rPr>
                <w:rFonts w:hint="eastAsia"/>
                <w:sz w:val="18"/>
                <w:szCs w:val="18"/>
              </w:rPr>
              <w:t>2.90%≤满意度＜95%的，得4分；</w:t>
            </w:r>
            <w:r>
              <w:rPr>
                <w:rFonts w:hint="eastAsia"/>
                <w:sz w:val="18"/>
                <w:szCs w:val="18"/>
              </w:rPr>
              <w:br w:type="textWrapping"/>
            </w:r>
            <w:r>
              <w:rPr>
                <w:rFonts w:hint="eastAsia"/>
                <w:sz w:val="18"/>
                <w:szCs w:val="18"/>
              </w:rPr>
              <w:t>3.80%≤满意度＜90%的，得2分；</w:t>
            </w:r>
            <w:r>
              <w:rPr>
                <w:rFonts w:hint="eastAsia"/>
                <w:sz w:val="18"/>
                <w:szCs w:val="18"/>
              </w:rPr>
              <w:br w:type="textWrapping"/>
            </w:r>
            <w:r>
              <w:rPr>
                <w:rFonts w:hint="eastAsia"/>
                <w:sz w:val="18"/>
                <w:szCs w:val="18"/>
              </w:rPr>
              <w:t>4.满意度＜80%的，得1分。</w:t>
            </w:r>
          </w:p>
        </w:tc>
        <w:tc>
          <w:tcPr>
            <w:tcW w:w="610" w:type="pct"/>
            <w:vAlign w:val="center"/>
          </w:tcPr>
          <w:p>
            <w:pPr>
              <w:rPr>
                <w:rFonts w:hint="eastAsia"/>
                <w:sz w:val="18"/>
                <w:szCs w:val="18"/>
              </w:rPr>
            </w:pPr>
            <w:r>
              <w:rPr>
                <w:rFonts w:hint="eastAsia"/>
                <w:sz w:val="18"/>
                <w:szCs w:val="18"/>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4390" w:type="pct"/>
            <w:gridSpan w:val="6"/>
            <w:vAlign w:val="center"/>
          </w:tcPr>
          <w:p>
            <w:pPr>
              <w:rPr>
                <w:rFonts w:hint="eastAsia"/>
                <w:sz w:val="18"/>
                <w:szCs w:val="18"/>
              </w:rPr>
            </w:pPr>
            <w:r>
              <w:rPr>
                <w:rFonts w:hint="eastAsia"/>
                <w:sz w:val="18"/>
                <w:szCs w:val="18"/>
              </w:rPr>
              <w:t>自评总得分</w:t>
            </w:r>
          </w:p>
        </w:tc>
        <w:tc>
          <w:tcPr>
            <w:tcW w:w="610" w:type="pct"/>
            <w:vAlign w:val="center"/>
          </w:tcPr>
          <w:p>
            <w:pPr>
              <w:rPr>
                <w:rFonts w:hint="eastAsia"/>
                <w:sz w:val="18"/>
                <w:szCs w:val="18"/>
              </w:rPr>
            </w:pPr>
            <w:r>
              <w:rPr>
                <w:rFonts w:hint="eastAsia"/>
                <w:sz w:val="18"/>
                <w:szCs w:val="18"/>
              </w:rPr>
              <w:t>93.48</w:t>
            </w:r>
          </w:p>
        </w:tc>
      </w:tr>
    </w:tbl>
    <w:p>
      <w:pPr>
        <w:rPr>
          <w:rFonts w:hint="eastAsia"/>
          <w:sz w:val="18"/>
          <w:szCs w:val="18"/>
          <w:highlight w:val="yellow"/>
        </w:rPr>
      </w:pPr>
    </w:p>
    <w:sectPr>
      <w:pgSz w:w="16839" w:h="11907" w:orient="landscape"/>
      <w:pgMar w:top="1134" w:right="1440" w:bottom="85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Adobe 楷体 Std R">
    <w:altName w:val="方正楷体_GBK"/>
    <w:panose1 w:val="00000000000000000000"/>
    <w:charset w:val="86"/>
    <w:family w:val="roma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zOGExMTIyYTFjMDViYTFkM2RhZWQ2ODI4MmI0ZGEifQ=="/>
  </w:docVars>
  <w:rsids>
    <w:rsidRoot w:val="007C6A8D"/>
    <w:rsid w:val="000126CA"/>
    <w:rsid w:val="00015287"/>
    <w:rsid w:val="00033A3A"/>
    <w:rsid w:val="00045109"/>
    <w:rsid w:val="000757DF"/>
    <w:rsid w:val="000C1693"/>
    <w:rsid w:val="000C7F39"/>
    <w:rsid w:val="000D5ECC"/>
    <w:rsid w:val="001030FD"/>
    <w:rsid w:val="001257E0"/>
    <w:rsid w:val="00156F7B"/>
    <w:rsid w:val="0016568A"/>
    <w:rsid w:val="00182EA5"/>
    <w:rsid w:val="00186083"/>
    <w:rsid w:val="001A4FCA"/>
    <w:rsid w:val="001B2693"/>
    <w:rsid w:val="001D5A63"/>
    <w:rsid w:val="001E06B1"/>
    <w:rsid w:val="001E1A5E"/>
    <w:rsid w:val="001E702E"/>
    <w:rsid w:val="001F5AA4"/>
    <w:rsid w:val="001F75CD"/>
    <w:rsid w:val="00201A8E"/>
    <w:rsid w:val="002263A7"/>
    <w:rsid w:val="00235966"/>
    <w:rsid w:val="00276A9A"/>
    <w:rsid w:val="002A7700"/>
    <w:rsid w:val="002B4331"/>
    <w:rsid w:val="002E0FBC"/>
    <w:rsid w:val="00310790"/>
    <w:rsid w:val="00323B8D"/>
    <w:rsid w:val="00325942"/>
    <w:rsid w:val="003577C2"/>
    <w:rsid w:val="00382649"/>
    <w:rsid w:val="00394B68"/>
    <w:rsid w:val="003B1900"/>
    <w:rsid w:val="003D5362"/>
    <w:rsid w:val="003D58B6"/>
    <w:rsid w:val="003F3BCB"/>
    <w:rsid w:val="00447BDD"/>
    <w:rsid w:val="004549B1"/>
    <w:rsid w:val="00483B04"/>
    <w:rsid w:val="004A3245"/>
    <w:rsid w:val="004B0D49"/>
    <w:rsid w:val="004B1CFE"/>
    <w:rsid w:val="004B47F6"/>
    <w:rsid w:val="004C1FA6"/>
    <w:rsid w:val="004D02A1"/>
    <w:rsid w:val="004E5385"/>
    <w:rsid w:val="004E61BE"/>
    <w:rsid w:val="00504E83"/>
    <w:rsid w:val="00543462"/>
    <w:rsid w:val="005442B2"/>
    <w:rsid w:val="0054733B"/>
    <w:rsid w:val="00567EEA"/>
    <w:rsid w:val="0058344B"/>
    <w:rsid w:val="005A7B7C"/>
    <w:rsid w:val="005B6F09"/>
    <w:rsid w:val="005C793D"/>
    <w:rsid w:val="005D6FD8"/>
    <w:rsid w:val="00644E44"/>
    <w:rsid w:val="00646371"/>
    <w:rsid w:val="006668F7"/>
    <w:rsid w:val="00667F0F"/>
    <w:rsid w:val="00670E00"/>
    <w:rsid w:val="006A08E5"/>
    <w:rsid w:val="006A0B18"/>
    <w:rsid w:val="006E2C6E"/>
    <w:rsid w:val="006F0724"/>
    <w:rsid w:val="007B1093"/>
    <w:rsid w:val="007C6A8D"/>
    <w:rsid w:val="007C77C0"/>
    <w:rsid w:val="007E03B1"/>
    <w:rsid w:val="007E16C0"/>
    <w:rsid w:val="007F11FC"/>
    <w:rsid w:val="00843F54"/>
    <w:rsid w:val="0085384E"/>
    <w:rsid w:val="00865257"/>
    <w:rsid w:val="00866D4F"/>
    <w:rsid w:val="00885817"/>
    <w:rsid w:val="00886EBB"/>
    <w:rsid w:val="008876EC"/>
    <w:rsid w:val="008A1E71"/>
    <w:rsid w:val="008C01DD"/>
    <w:rsid w:val="008C5E9F"/>
    <w:rsid w:val="008D3C34"/>
    <w:rsid w:val="009015FC"/>
    <w:rsid w:val="00907B9F"/>
    <w:rsid w:val="009254A3"/>
    <w:rsid w:val="009374E9"/>
    <w:rsid w:val="0094704A"/>
    <w:rsid w:val="009544F6"/>
    <w:rsid w:val="009803FA"/>
    <w:rsid w:val="009B6BB4"/>
    <w:rsid w:val="009D3F26"/>
    <w:rsid w:val="00A05448"/>
    <w:rsid w:val="00A20643"/>
    <w:rsid w:val="00A327AA"/>
    <w:rsid w:val="00A538BC"/>
    <w:rsid w:val="00AA5338"/>
    <w:rsid w:val="00AC140F"/>
    <w:rsid w:val="00AD4C3B"/>
    <w:rsid w:val="00AD7537"/>
    <w:rsid w:val="00AF7612"/>
    <w:rsid w:val="00B012E2"/>
    <w:rsid w:val="00B16374"/>
    <w:rsid w:val="00B808E5"/>
    <w:rsid w:val="00B9050E"/>
    <w:rsid w:val="00BB7A05"/>
    <w:rsid w:val="00BC6FAC"/>
    <w:rsid w:val="00BD192D"/>
    <w:rsid w:val="00C2157C"/>
    <w:rsid w:val="00C24979"/>
    <w:rsid w:val="00C409C6"/>
    <w:rsid w:val="00C702B8"/>
    <w:rsid w:val="00C808CD"/>
    <w:rsid w:val="00CB6C81"/>
    <w:rsid w:val="00CB7FE9"/>
    <w:rsid w:val="00CC0E1B"/>
    <w:rsid w:val="00CC5F57"/>
    <w:rsid w:val="00CC7C71"/>
    <w:rsid w:val="00CD69A4"/>
    <w:rsid w:val="00CF49DF"/>
    <w:rsid w:val="00D50E3A"/>
    <w:rsid w:val="00D619FF"/>
    <w:rsid w:val="00D80768"/>
    <w:rsid w:val="00D86FE6"/>
    <w:rsid w:val="00DC002F"/>
    <w:rsid w:val="00DD1293"/>
    <w:rsid w:val="00DD484F"/>
    <w:rsid w:val="00E05C8E"/>
    <w:rsid w:val="00E25EE6"/>
    <w:rsid w:val="00E51646"/>
    <w:rsid w:val="00E61598"/>
    <w:rsid w:val="00E975EF"/>
    <w:rsid w:val="00EB6F21"/>
    <w:rsid w:val="00EE3693"/>
    <w:rsid w:val="00EF7EBC"/>
    <w:rsid w:val="00F05CC5"/>
    <w:rsid w:val="00F85BCF"/>
    <w:rsid w:val="00FA665A"/>
    <w:rsid w:val="00FB5879"/>
    <w:rsid w:val="046201D9"/>
    <w:rsid w:val="093D7121"/>
    <w:rsid w:val="0ED36A7A"/>
    <w:rsid w:val="103F26A5"/>
    <w:rsid w:val="10642039"/>
    <w:rsid w:val="11C35806"/>
    <w:rsid w:val="12CC455E"/>
    <w:rsid w:val="12ED1CC7"/>
    <w:rsid w:val="16431E28"/>
    <w:rsid w:val="1B626AE9"/>
    <w:rsid w:val="1FC0024D"/>
    <w:rsid w:val="1FD569D6"/>
    <w:rsid w:val="20B2688B"/>
    <w:rsid w:val="221F033C"/>
    <w:rsid w:val="23DE4001"/>
    <w:rsid w:val="255E2FD6"/>
    <w:rsid w:val="263B33D9"/>
    <w:rsid w:val="299050CC"/>
    <w:rsid w:val="2C227AB3"/>
    <w:rsid w:val="2F734DBA"/>
    <w:rsid w:val="312E25FF"/>
    <w:rsid w:val="32947A93"/>
    <w:rsid w:val="32C775F4"/>
    <w:rsid w:val="32DB30FB"/>
    <w:rsid w:val="33D56B56"/>
    <w:rsid w:val="33E565D6"/>
    <w:rsid w:val="37271E0A"/>
    <w:rsid w:val="3F1E47E1"/>
    <w:rsid w:val="3FF33CD8"/>
    <w:rsid w:val="42847A54"/>
    <w:rsid w:val="43434675"/>
    <w:rsid w:val="446D60A3"/>
    <w:rsid w:val="49104177"/>
    <w:rsid w:val="4C602853"/>
    <w:rsid w:val="4D072A03"/>
    <w:rsid w:val="51192697"/>
    <w:rsid w:val="536B0025"/>
    <w:rsid w:val="550868CE"/>
    <w:rsid w:val="56DF375E"/>
    <w:rsid w:val="572362A2"/>
    <w:rsid w:val="5C6F0841"/>
    <w:rsid w:val="5D33473F"/>
    <w:rsid w:val="5E9135DC"/>
    <w:rsid w:val="5EEA26EE"/>
    <w:rsid w:val="5F715B1F"/>
    <w:rsid w:val="640C5F11"/>
    <w:rsid w:val="641E408A"/>
    <w:rsid w:val="6A525816"/>
    <w:rsid w:val="6A977CFB"/>
    <w:rsid w:val="6AC1059B"/>
    <w:rsid w:val="6DC76991"/>
    <w:rsid w:val="74C3051E"/>
    <w:rsid w:val="75CB435E"/>
    <w:rsid w:val="76E91C96"/>
    <w:rsid w:val="76ED1560"/>
    <w:rsid w:val="7845741B"/>
    <w:rsid w:val="787E7ACA"/>
    <w:rsid w:val="7DA627DF"/>
    <w:rsid w:val="EDE78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框文本 字符"/>
    <w:basedOn w:val="7"/>
    <w:link w:val="2"/>
    <w:semiHidden/>
    <w:qFormat/>
    <w:uiPriority w:val="99"/>
    <w:rPr>
      <w:rFonts w:ascii="Times New Roman" w:hAnsi="Times New Roman" w:eastAsia="宋体" w:cs="Times New Roman"/>
      <w:sz w:val="18"/>
      <w:szCs w:val="18"/>
    </w:rPr>
  </w:style>
  <w:style w:type="character" w:customStyle="1" w:styleId="9">
    <w:name w:val="页眉 字符"/>
    <w:basedOn w:val="7"/>
    <w:link w:val="4"/>
    <w:qFormat/>
    <w:uiPriority w:val="99"/>
    <w:rPr>
      <w:rFonts w:ascii="Times New Roman" w:hAnsi="Times New Roman" w:eastAsia="宋体" w:cs="Times New Roman"/>
      <w:sz w:val="18"/>
      <w:szCs w:val="18"/>
    </w:rPr>
  </w:style>
  <w:style w:type="character" w:customStyle="1" w:styleId="10">
    <w:name w:val="页脚 字符"/>
    <w:basedOn w:val="7"/>
    <w:link w:val="3"/>
    <w:qFormat/>
    <w:uiPriority w:val="99"/>
    <w:rPr>
      <w:rFonts w:ascii="Times New Roman" w:hAnsi="Times New Roman" w:eastAsia="宋体" w:cs="Times New Roman"/>
      <w:sz w:val="18"/>
      <w:szCs w:val="18"/>
    </w:rPr>
  </w:style>
  <w:style w:type="paragraph" w:customStyle="1" w:styleId="11">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12">
    <w:name w:val="CM31"/>
    <w:basedOn w:val="11"/>
    <w:next w:val="11"/>
    <w:unhideWhenUsed/>
    <w:qFormat/>
    <w:uiPriority w:val="99"/>
    <w:rPr>
      <w:rFonts w:hint="default"/>
    </w:rPr>
  </w:style>
  <w:style w:type="paragraph" w:customStyle="1" w:styleId="13">
    <w:name w:val="CM28"/>
    <w:basedOn w:val="11"/>
    <w:next w:val="11"/>
    <w:unhideWhenUsed/>
    <w:qFormat/>
    <w:uiPriority w:val="99"/>
    <w:rPr>
      <w:rFonts w:hint="default"/>
    </w:rPr>
  </w:style>
  <w:style w:type="paragraph" w:customStyle="1" w:styleId="14">
    <w:name w:val="CM1"/>
    <w:basedOn w:val="1"/>
    <w:next w:val="1"/>
    <w:unhideWhenUsed/>
    <w:qFormat/>
    <w:uiPriority w:val="99"/>
    <w:pPr>
      <w:autoSpaceDE w:val="0"/>
      <w:autoSpaceDN w:val="0"/>
      <w:adjustRightInd w:val="0"/>
      <w:spacing w:line="473" w:lineRule="atLeast"/>
      <w:jc w:val="left"/>
    </w:pPr>
    <w:rPr>
      <w:rFonts w:ascii="宋体" w:hAnsi="宋体"/>
      <w:color w:val="000000"/>
      <w:kern w:val="0"/>
      <w:sz w:val="24"/>
      <w:szCs w:val="20"/>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9850</Words>
  <Characters>11166</Characters>
  <Lines>86</Lines>
  <Paragraphs>24</Paragraphs>
  <TotalTime>1</TotalTime>
  <ScaleCrop>false</ScaleCrop>
  <LinksUpToDate>false</LinksUpToDate>
  <CharactersWithSpaces>11498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2019-03-07T11:34:00Z</dcterms:created>
  <dc:creator>桂鑫</dc:creator>
  <cp:lastModifiedBy>yt</cp:lastModifiedBy>
  <dcterms:modified xsi:type="dcterms:W3CDTF">2024-12-04T14:20:16Z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7C08AD1B45C145E292E7AC092B21D070_12</vt:lpwstr>
  </property>
</Properties>
</file>